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FF007">
      <w:pPr>
        <w:ind w:left="0" w:leftChars="0" w:firstLine="0" w:firstLineChars="0"/>
        <w:rPr>
          <w:rStyle w:val="20"/>
          <w:rFonts w:hint="eastAsia" w:ascii="Times New Roman" w:eastAsia="方正小标宋简体"/>
          <w:sz w:val="44"/>
          <w:szCs w:val="44"/>
          <w:lang w:eastAsia="zh-CN"/>
        </w:rPr>
      </w:pPr>
    </w:p>
    <w:p w14:paraId="388A84B7">
      <w:pPr>
        <w:keepNext w:val="0"/>
        <w:keepLines w:val="0"/>
        <w:pageBreakBefore w:val="0"/>
        <w:widowControl w:val="0"/>
        <w:kinsoku/>
        <w:wordWrap/>
        <w:overflowPunct/>
        <w:topLinePunct w:val="0"/>
        <w:autoSpaceDE/>
        <w:autoSpaceDN/>
        <w:bidi w:val="0"/>
        <w:adjustRightInd w:val="0"/>
        <w:snapToGrid w:val="0"/>
        <w:spacing w:line="240" w:lineRule="auto"/>
        <w:ind w:right="105" w:rightChars="50"/>
        <w:jc w:val="center"/>
        <w:textAlignment w:val="auto"/>
        <w:rPr>
          <w:rStyle w:val="20"/>
          <w:rFonts w:hint="eastAsia" w:ascii="Times New Roman" w:eastAsia="方正小标宋简体"/>
          <w:sz w:val="44"/>
          <w:szCs w:val="44"/>
          <w:lang w:eastAsia="zh-CN"/>
        </w:rPr>
      </w:pPr>
      <w:r>
        <w:rPr>
          <w:rStyle w:val="20"/>
          <w:rFonts w:hint="eastAsia" w:ascii="Times New Roman" w:eastAsia="方正小标宋简体"/>
          <w:sz w:val="44"/>
          <w:szCs w:val="44"/>
          <w:lang w:eastAsia="zh-CN"/>
        </w:rPr>
        <w:t>宣汉县乡村水务试点县供水保障工程</w:t>
      </w:r>
    </w:p>
    <w:p w14:paraId="1AD30D7D">
      <w:pPr>
        <w:keepNext w:val="0"/>
        <w:keepLines w:val="0"/>
        <w:pageBreakBefore w:val="0"/>
        <w:widowControl w:val="0"/>
        <w:kinsoku/>
        <w:wordWrap/>
        <w:overflowPunct/>
        <w:topLinePunct w:val="0"/>
        <w:autoSpaceDE/>
        <w:autoSpaceDN/>
        <w:bidi w:val="0"/>
        <w:adjustRightInd w:val="0"/>
        <w:snapToGrid w:val="0"/>
        <w:spacing w:line="240" w:lineRule="auto"/>
        <w:ind w:right="105" w:rightChars="50"/>
        <w:jc w:val="center"/>
        <w:textAlignment w:val="auto"/>
        <w:rPr>
          <w:rStyle w:val="20"/>
          <w:rFonts w:ascii="Times New Roman" w:eastAsia="方正小标宋简体"/>
          <w:sz w:val="48"/>
          <w:szCs w:val="48"/>
        </w:rPr>
      </w:pPr>
      <w:r>
        <w:rPr>
          <w:rStyle w:val="20"/>
          <w:rFonts w:hint="eastAsia" w:ascii="Times New Roman" w:eastAsia="方正小标宋简体"/>
          <w:sz w:val="44"/>
          <w:szCs w:val="44"/>
          <w:lang w:eastAsia="zh-CN"/>
        </w:rPr>
        <w:t>项目</w:t>
      </w:r>
      <w:r>
        <w:rPr>
          <w:rStyle w:val="20"/>
          <w:rFonts w:ascii="Times New Roman" w:eastAsia="方正小标宋简体"/>
          <w:sz w:val="44"/>
          <w:szCs w:val="44"/>
        </w:rPr>
        <w:t>情况</w:t>
      </w:r>
    </w:p>
    <w:p w14:paraId="35FC8B7E">
      <w:pPr>
        <w:pStyle w:val="4"/>
        <w:rPr>
          <w:rStyle w:val="20"/>
          <w:rFonts w:ascii="Times New Roman" w:eastAsia="方正小标宋简体"/>
          <w:sz w:val="60"/>
          <w:szCs w:val="60"/>
        </w:rPr>
      </w:pPr>
    </w:p>
    <w:p w14:paraId="122E2919">
      <w:pPr>
        <w:pStyle w:val="4"/>
        <w:rPr>
          <w:rStyle w:val="20"/>
          <w:rFonts w:ascii="Times New Roman" w:eastAsia="方正小标宋简体"/>
          <w:sz w:val="60"/>
          <w:szCs w:val="60"/>
        </w:rPr>
      </w:pPr>
    </w:p>
    <w:p w14:paraId="00558845">
      <w:pPr>
        <w:pStyle w:val="4"/>
        <w:rPr>
          <w:rStyle w:val="20"/>
          <w:rFonts w:ascii="Times New Roman" w:eastAsia="方正小标宋简体"/>
          <w:sz w:val="60"/>
          <w:szCs w:val="60"/>
        </w:rPr>
      </w:pPr>
    </w:p>
    <w:p w14:paraId="4AAD502A">
      <w:pPr>
        <w:pStyle w:val="4"/>
        <w:rPr>
          <w:rStyle w:val="20"/>
          <w:rFonts w:ascii="Times New Roman" w:eastAsia="方正小标宋简体"/>
          <w:sz w:val="60"/>
          <w:szCs w:val="60"/>
        </w:rPr>
      </w:pPr>
    </w:p>
    <w:p w14:paraId="32591ECB">
      <w:pPr>
        <w:pStyle w:val="4"/>
        <w:rPr>
          <w:rStyle w:val="20"/>
          <w:rFonts w:ascii="Times New Roman" w:eastAsia="方正小标宋简体"/>
          <w:sz w:val="60"/>
          <w:szCs w:val="60"/>
        </w:rPr>
      </w:pPr>
    </w:p>
    <w:p w14:paraId="748659E2">
      <w:pPr>
        <w:pStyle w:val="4"/>
        <w:rPr>
          <w:rStyle w:val="20"/>
          <w:rFonts w:ascii="Times New Roman" w:eastAsia="方正小标宋简体"/>
          <w:sz w:val="60"/>
          <w:szCs w:val="60"/>
        </w:rPr>
      </w:pPr>
    </w:p>
    <w:p w14:paraId="2B1B2876">
      <w:pPr>
        <w:pStyle w:val="4"/>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Style w:val="20"/>
          <w:rFonts w:hint="eastAsia" w:ascii="方正小标宋简体" w:hAnsi="方正小标宋简体" w:eastAsia="方正小标宋简体" w:cs="方正小标宋简体"/>
          <w:sz w:val="32"/>
          <w:szCs w:val="32"/>
          <w:lang w:val="en-US" w:eastAsia="zh-CN"/>
        </w:rPr>
      </w:pPr>
    </w:p>
    <w:p w14:paraId="6BB6AD9A">
      <w:pPr>
        <w:pStyle w:val="4"/>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Style w:val="20"/>
          <w:rFonts w:hint="eastAsia" w:ascii="方正小标宋简体" w:hAnsi="方正小标宋简体" w:eastAsia="方正小标宋简体" w:cs="方正小标宋简体"/>
          <w:sz w:val="32"/>
          <w:szCs w:val="32"/>
          <w:lang w:val="en-US" w:eastAsia="zh-CN"/>
        </w:rPr>
      </w:pPr>
      <w:r>
        <w:rPr>
          <w:rStyle w:val="20"/>
          <w:rFonts w:hint="eastAsia" w:ascii="方正小标宋简体" w:hAnsi="方正小标宋简体" w:eastAsia="方正小标宋简体" w:cs="方正小标宋简体"/>
          <w:sz w:val="32"/>
          <w:szCs w:val="32"/>
          <w:lang w:val="en-US" w:eastAsia="zh-CN"/>
        </w:rPr>
        <w:t>宣汉县财政局</w:t>
      </w:r>
    </w:p>
    <w:p w14:paraId="135A3A50">
      <w:pPr>
        <w:pStyle w:val="4"/>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Style w:val="20"/>
          <w:rFonts w:hint="eastAsia" w:ascii="方正小标宋简体" w:hAnsi="方正小标宋简体" w:eastAsia="方正小标宋简体" w:cs="方正小标宋简体"/>
          <w:sz w:val="32"/>
          <w:szCs w:val="32"/>
          <w:lang w:val="en-US" w:eastAsia="zh-CN"/>
        </w:rPr>
      </w:pPr>
      <w:r>
        <w:rPr>
          <w:rStyle w:val="20"/>
          <w:rFonts w:hint="eastAsia" w:ascii="方正小标宋简体" w:hAnsi="方正小标宋简体" w:eastAsia="方正小标宋简体" w:cs="方正小标宋简体"/>
          <w:sz w:val="32"/>
          <w:szCs w:val="32"/>
          <w:lang w:val="en-US" w:eastAsia="zh-CN"/>
        </w:rPr>
        <w:t>宣汉县发展和改革局</w:t>
      </w:r>
    </w:p>
    <w:p w14:paraId="08A2B663">
      <w:pPr>
        <w:pStyle w:val="4"/>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Style w:val="20"/>
          <w:rFonts w:hint="eastAsia" w:ascii="方正小标宋简体" w:hAnsi="方正小标宋简体" w:eastAsia="方正小标宋简体" w:cs="方正小标宋简体"/>
          <w:sz w:val="32"/>
          <w:szCs w:val="32"/>
          <w:lang w:val="en-US" w:eastAsia="zh-CN"/>
        </w:rPr>
      </w:pPr>
      <w:r>
        <w:rPr>
          <w:rStyle w:val="20"/>
          <w:rFonts w:hint="eastAsia" w:ascii="方正小标宋简体" w:hAnsi="方正小标宋简体" w:eastAsia="方正小标宋简体" w:cs="方正小标宋简体"/>
          <w:sz w:val="32"/>
          <w:szCs w:val="32"/>
          <w:lang w:val="en-US" w:eastAsia="zh-CN"/>
        </w:rPr>
        <w:t>宣汉县水务局</w:t>
      </w:r>
    </w:p>
    <w:p w14:paraId="34D10DFF">
      <w:pPr>
        <w:pStyle w:val="4"/>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Style w:val="20"/>
          <w:rFonts w:hint="default" w:ascii="Times New Roman" w:eastAsia="方正小标宋简体"/>
          <w:sz w:val="48"/>
          <w:szCs w:val="48"/>
          <w:lang w:val="en-US" w:eastAsia="zh-CN"/>
        </w:rPr>
      </w:pPr>
      <w:r>
        <w:rPr>
          <w:rStyle w:val="20"/>
          <w:rFonts w:hint="eastAsia" w:ascii="方正小标宋简体" w:hAnsi="方正小标宋简体" w:eastAsia="方正小标宋简体" w:cs="方正小标宋简体"/>
          <w:sz w:val="32"/>
          <w:szCs w:val="32"/>
          <w:lang w:val="en-US" w:eastAsia="zh-CN"/>
        </w:rPr>
        <w:t>四川汉润水务集团有限公司</w:t>
      </w:r>
    </w:p>
    <w:p w14:paraId="0C9D359C">
      <w:pPr>
        <w:spacing w:line="560" w:lineRule="exact"/>
        <w:ind w:firstLine="640" w:firstLineChars="200"/>
        <w:rPr>
          <w:rStyle w:val="20"/>
          <w:rFonts w:ascii="黑体" w:hAnsi="黑体" w:eastAsia="黑体"/>
          <w:sz w:val="32"/>
          <w:szCs w:val="32"/>
        </w:rPr>
        <w:sectPr>
          <w:headerReference r:id="rId3" w:type="default"/>
          <w:footerReference r:id="rId5" w:type="default"/>
          <w:headerReference r:id="rId4" w:type="even"/>
          <w:footerReference r:id="rId6" w:type="even"/>
          <w:pgSz w:w="11906" w:h="16838"/>
          <w:pgMar w:top="2098" w:right="1418" w:bottom="1588" w:left="1644" w:header="851" w:footer="992" w:gutter="0"/>
          <w:pgNumType w:start="1"/>
          <w:cols w:space="425" w:num="1"/>
          <w:docGrid w:type="lines" w:linePitch="435" w:charSpace="0"/>
        </w:sectPr>
      </w:pPr>
    </w:p>
    <w:p w14:paraId="57B2E359">
      <w:pPr>
        <w:spacing w:line="560" w:lineRule="exact"/>
        <w:ind w:firstLine="640" w:firstLineChars="200"/>
        <w:rPr>
          <w:rStyle w:val="20"/>
          <w:rFonts w:ascii="黑体" w:hAnsi="黑体" w:eastAsia="黑体"/>
          <w:sz w:val="32"/>
          <w:szCs w:val="32"/>
        </w:rPr>
      </w:pPr>
      <w:r>
        <w:rPr>
          <w:rStyle w:val="20"/>
          <w:rFonts w:ascii="黑体" w:hAnsi="黑体" w:eastAsia="黑体"/>
          <w:sz w:val="32"/>
          <w:szCs w:val="32"/>
        </w:rPr>
        <w:t>一、项目基本情况</w:t>
      </w:r>
    </w:p>
    <w:p w14:paraId="1C7371B4">
      <w:pPr>
        <w:spacing w:line="560" w:lineRule="exact"/>
        <w:ind w:firstLine="643" w:firstLineChars="200"/>
        <w:rPr>
          <w:rStyle w:val="20"/>
          <w:rFonts w:ascii="楷体_GB2312" w:eastAsia="楷体_GB2312"/>
          <w:b/>
          <w:sz w:val="32"/>
          <w:szCs w:val="32"/>
        </w:rPr>
      </w:pPr>
      <w:r>
        <w:rPr>
          <w:rStyle w:val="20"/>
          <w:rFonts w:ascii="楷体_GB2312" w:eastAsia="楷体_GB2312"/>
          <w:b/>
          <w:sz w:val="32"/>
          <w:szCs w:val="32"/>
        </w:rPr>
        <w:t>（一）市县及行业专项规划概况</w:t>
      </w:r>
    </w:p>
    <w:p w14:paraId="60902AE1">
      <w:pPr>
        <w:spacing w:line="560" w:lineRule="exact"/>
        <w:ind w:firstLine="640" w:firstLineChars="200"/>
        <w:rPr>
          <w:rStyle w:val="20"/>
          <w:rFonts w:hint="eastAsia" w:ascii="仿宋_GB2312" w:hAnsi="Calibri" w:eastAsia="仿宋_GB2312"/>
          <w:sz w:val="32"/>
          <w:szCs w:val="32"/>
        </w:rPr>
      </w:pPr>
      <w:r>
        <w:rPr>
          <w:rStyle w:val="20"/>
          <w:rFonts w:hint="eastAsia" w:ascii="仿宋_GB2312" w:hAnsi="Calibri" w:eastAsia="仿宋_GB2312"/>
          <w:sz w:val="32"/>
          <w:szCs w:val="32"/>
        </w:rPr>
        <w:t>《宣汉县“十四五”水安全保障规划》提出目标：到2025年，农村地区水利基础设施成效明显提高，实现农村供水城镇化，县城区和重要乡镇防洪达到国家防洪标准，农村人均有效灌溉面积达到0.68亩，城乡人均供水能力达到全国平均水平，水生态环境得到明显改善。</w:t>
      </w:r>
    </w:p>
    <w:p w14:paraId="2990366E">
      <w:pPr>
        <w:spacing w:line="560" w:lineRule="exact"/>
        <w:ind w:firstLine="640" w:firstLineChars="200"/>
        <w:rPr>
          <w:rStyle w:val="20"/>
          <w:rFonts w:ascii="仿宋_GB2312" w:hAnsi="Calibri" w:eastAsia="仿宋_GB2312"/>
          <w:sz w:val="32"/>
          <w:szCs w:val="32"/>
        </w:rPr>
      </w:pPr>
      <w:r>
        <w:rPr>
          <w:rStyle w:val="20"/>
          <w:rFonts w:hint="eastAsia" w:ascii="仿宋_GB2312" w:hAnsi="Calibri" w:eastAsia="仿宋_GB2312"/>
          <w:sz w:val="32"/>
          <w:szCs w:val="32"/>
        </w:rPr>
        <w:t>新增和恢复蓄引提水能力达到3.262亿立方米。新增有效灌溉面积11.4万亩，有效灌溉面积达到73.575万亩，新增节水灌溉面积9.7万亩；实现农村自来水普及率达到95%，农村居民饮用水达标率99%以上，乡镇自来水普及率达到100%，供水水质合格率达95%以上，供水保证率达到90%以上；宣汉县城区居民饮用水达标率达到100%。新增农村水电装机容量0.16万千瓦。</w:t>
      </w:r>
    </w:p>
    <w:p w14:paraId="4C3915C2">
      <w:pPr>
        <w:spacing w:line="560" w:lineRule="exact"/>
        <w:ind w:firstLine="643" w:firstLineChars="200"/>
        <w:rPr>
          <w:rStyle w:val="20"/>
          <w:rFonts w:ascii="楷体_GB2312" w:eastAsia="楷体_GB2312"/>
          <w:b/>
          <w:sz w:val="32"/>
          <w:szCs w:val="32"/>
        </w:rPr>
      </w:pPr>
      <w:r>
        <w:rPr>
          <w:rStyle w:val="20"/>
          <w:rFonts w:ascii="楷体_GB2312" w:eastAsia="楷体_GB2312"/>
          <w:b/>
          <w:sz w:val="32"/>
          <w:szCs w:val="32"/>
        </w:rPr>
        <w:t>（二）项目情况</w:t>
      </w:r>
    </w:p>
    <w:p w14:paraId="4B4A437F">
      <w:pPr>
        <w:spacing w:line="560" w:lineRule="exact"/>
        <w:ind w:firstLine="643" w:firstLineChars="200"/>
        <w:rPr>
          <w:rStyle w:val="20"/>
          <w:rFonts w:ascii="仿宋_GB2312" w:eastAsia="仿宋_GB2312"/>
          <w:b/>
          <w:sz w:val="32"/>
          <w:szCs w:val="32"/>
        </w:rPr>
      </w:pPr>
      <w:r>
        <w:rPr>
          <w:rStyle w:val="20"/>
          <w:rFonts w:ascii="仿宋_GB2312" w:eastAsia="仿宋_GB2312"/>
          <w:b/>
          <w:sz w:val="32"/>
          <w:szCs w:val="32"/>
        </w:rPr>
        <w:t>1.参与主体</w:t>
      </w:r>
    </w:p>
    <w:p w14:paraId="0D0E5FFC">
      <w:pPr>
        <w:pStyle w:val="19"/>
        <w:spacing w:after="0" w:line="560" w:lineRule="exact"/>
        <w:ind w:firstLine="640" w:firstLineChars="200"/>
        <w:jc w:val="both"/>
        <w:rPr>
          <w:rStyle w:val="20"/>
          <w:rFonts w:hint="eastAsia" w:ascii="仿宋_GB2312" w:hAnsi="Calibri" w:eastAsia="仿宋_GB2312"/>
          <w:sz w:val="32"/>
          <w:szCs w:val="32"/>
          <w:lang w:eastAsia="zh-CN"/>
        </w:rPr>
      </w:pPr>
      <w:r>
        <w:rPr>
          <w:rStyle w:val="20"/>
          <w:rFonts w:ascii="仿宋_GB2312" w:hAnsi="Calibri" w:eastAsia="仿宋_GB2312"/>
          <w:sz w:val="32"/>
          <w:szCs w:val="32"/>
        </w:rPr>
        <w:t>项目名称：</w:t>
      </w:r>
      <w:r>
        <w:rPr>
          <w:rStyle w:val="20"/>
          <w:rFonts w:hint="eastAsia" w:ascii="仿宋_GB2312" w:hAnsi="Calibri" w:eastAsia="仿宋_GB2312"/>
          <w:sz w:val="32"/>
          <w:szCs w:val="32"/>
          <w:lang w:eastAsia="zh-CN"/>
        </w:rPr>
        <w:t>宣汉县乡村水务试点县供水保障工程项目</w:t>
      </w:r>
    </w:p>
    <w:p w14:paraId="6255A211">
      <w:pPr>
        <w:pStyle w:val="19"/>
        <w:spacing w:after="0" w:line="560" w:lineRule="exact"/>
        <w:ind w:firstLine="640" w:firstLineChars="200"/>
        <w:jc w:val="both"/>
        <w:rPr>
          <w:rStyle w:val="20"/>
          <w:rFonts w:hint="eastAsia" w:ascii="仿宋_GB2312" w:hAnsi="Calibri" w:eastAsia="仿宋_GB2312"/>
          <w:sz w:val="32"/>
          <w:szCs w:val="32"/>
          <w:lang w:eastAsia="zh-CN"/>
        </w:rPr>
      </w:pPr>
      <w:r>
        <w:rPr>
          <w:rStyle w:val="20"/>
          <w:rFonts w:hint="eastAsia" w:ascii="仿宋_GB2312" w:hAnsi="Calibri" w:eastAsia="仿宋_GB2312"/>
          <w:sz w:val="32"/>
          <w:szCs w:val="32"/>
          <w:lang w:val="en-US" w:eastAsia="zh-CN"/>
        </w:rPr>
        <w:t>主管单位</w:t>
      </w:r>
      <w:r>
        <w:rPr>
          <w:rStyle w:val="20"/>
          <w:rFonts w:hint="eastAsia" w:ascii="仿宋_GB2312" w:hAnsi="Calibri" w:eastAsia="仿宋_GB2312"/>
          <w:sz w:val="32"/>
          <w:szCs w:val="32"/>
        </w:rPr>
        <w:t>：</w:t>
      </w:r>
      <w:r>
        <w:rPr>
          <w:rStyle w:val="20"/>
          <w:rFonts w:hint="eastAsia" w:ascii="仿宋_GB2312" w:hAnsi="Calibri" w:eastAsia="仿宋_GB2312"/>
          <w:sz w:val="32"/>
          <w:szCs w:val="32"/>
          <w:lang w:eastAsia="zh-CN"/>
        </w:rPr>
        <w:t>宣汉县水务局</w:t>
      </w:r>
    </w:p>
    <w:p w14:paraId="506FFA71">
      <w:pPr>
        <w:pStyle w:val="19"/>
        <w:spacing w:after="0" w:line="560" w:lineRule="exact"/>
        <w:ind w:firstLine="640" w:firstLineChars="200"/>
        <w:jc w:val="both"/>
        <w:rPr>
          <w:rStyle w:val="20"/>
          <w:rFonts w:hint="eastAsia" w:ascii="仿宋_GB2312" w:hAnsi="Calibri" w:eastAsia="仿宋_GB2312"/>
          <w:sz w:val="32"/>
          <w:szCs w:val="32"/>
          <w:lang w:eastAsia="zh-CN"/>
        </w:rPr>
      </w:pPr>
      <w:r>
        <w:rPr>
          <w:rStyle w:val="20"/>
          <w:rFonts w:ascii="仿宋_GB2312" w:hAnsi="Calibri" w:eastAsia="仿宋_GB2312"/>
          <w:sz w:val="32"/>
          <w:szCs w:val="32"/>
        </w:rPr>
        <w:t>实施机构：</w:t>
      </w:r>
      <w:r>
        <w:rPr>
          <w:rStyle w:val="20"/>
          <w:rFonts w:hint="eastAsia" w:ascii="仿宋_GB2312" w:hAnsi="Calibri" w:eastAsia="仿宋_GB2312"/>
          <w:sz w:val="32"/>
          <w:szCs w:val="32"/>
          <w:lang w:eastAsia="zh-CN"/>
        </w:rPr>
        <w:t>四川汉润水务集团有限公司</w:t>
      </w:r>
    </w:p>
    <w:p w14:paraId="3B93A453">
      <w:pPr>
        <w:tabs>
          <w:tab w:val="left" w:pos="315"/>
        </w:tabs>
        <w:spacing w:line="560" w:lineRule="exact"/>
        <w:ind w:firstLine="643" w:firstLineChars="200"/>
        <w:rPr>
          <w:rStyle w:val="20"/>
          <w:rFonts w:ascii="仿宋_GB2312" w:eastAsia="仿宋_GB2312"/>
          <w:b/>
          <w:sz w:val="32"/>
          <w:szCs w:val="32"/>
        </w:rPr>
      </w:pPr>
      <w:r>
        <w:rPr>
          <w:rStyle w:val="20"/>
          <w:rFonts w:ascii="仿宋_GB2312" w:eastAsia="仿宋_GB2312"/>
          <w:b/>
          <w:sz w:val="32"/>
          <w:szCs w:val="32"/>
        </w:rPr>
        <w:t>2.项目概况</w:t>
      </w:r>
    </w:p>
    <w:p w14:paraId="7A320B1B">
      <w:pPr>
        <w:spacing w:line="560" w:lineRule="exact"/>
        <w:ind w:firstLine="640" w:firstLineChars="200"/>
        <w:rPr>
          <w:rStyle w:val="20"/>
          <w:rFonts w:ascii="仿宋_GB2312" w:hAnsi="Calibri" w:eastAsia="仿宋_GB2312"/>
          <w:sz w:val="32"/>
          <w:szCs w:val="32"/>
        </w:rPr>
      </w:pPr>
      <w:r>
        <w:rPr>
          <w:rStyle w:val="20"/>
          <w:rFonts w:hint="eastAsia" w:ascii="仿宋_GB2312" w:hAnsi="Calibri" w:eastAsia="仿宋_GB2312"/>
          <w:sz w:val="32"/>
          <w:szCs w:val="32"/>
        </w:rPr>
        <w:t>建设内容：新建水厂4座，改建水厂25座，供水服务中心1座，日供水规模19.86万立方米，配套建设供水管网、沉淀池、排水池、加压泵房等附属设施</w:t>
      </w:r>
      <w:r>
        <w:rPr>
          <w:rStyle w:val="20"/>
          <w:rFonts w:ascii="仿宋_GB2312" w:hAnsi="Calibri" w:eastAsia="仿宋_GB2312"/>
          <w:sz w:val="32"/>
          <w:szCs w:val="32"/>
        </w:rPr>
        <w:t>。</w:t>
      </w:r>
    </w:p>
    <w:p w14:paraId="53118D5B">
      <w:pPr>
        <w:spacing w:line="560" w:lineRule="exact"/>
        <w:ind w:firstLine="640" w:firstLineChars="200"/>
        <w:rPr>
          <w:rStyle w:val="20"/>
          <w:rFonts w:ascii="黑体" w:hAnsi="黑体" w:eastAsia="黑体"/>
          <w:sz w:val="32"/>
          <w:szCs w:val="32"/>
        </w:rPr>
      </w:pPr>
      <w:r>
        <w:rPr>
          <w:rStyle w:val="20"/>
          <w:rFonts w:ascii="黑体" w:hAnsi="黑体" w:eastAsia="黑体"/>
          <w:sz w:val="32"/>
          <w:szCs w:val="32"/>
        </w:rPr>
        <w:t>二、经济社会效益分析</w:t>
      </w:r>
    </w:p>
    <w:p w14:paraId="2D8BF15E">
      <w:pPr>
        <w:pStyle w:val="19"/>
        <w:spacing w:line="560" w:lineRule="exact"/>
        <w:ind w:firstLine="643" w:firstLineChars="200"/>
        <w:jc w:val="both"/>
        <w:rPr>
          <w:rStyle w:val="20"/>
          <w:rFonts w:ascii="楷体_GB2312" w:eastAsia="楷体_GB2312"/>
          <w:b/>
          <w:sz w:val="32"/>
          <w:szCs w:val="32"/>
        </w:rPr>
      </w:pPr>
      <w:r>
        <w:rPr>
          <w:rStyle w:val="20"/>
          <w:rFonts w:ascii="楷体_GB2312" w:eastAsia="楷体_GB2312"/>
          <w:b/>
          <w:sz w:val="32"/>
          <w:szCs w:val="32"/>
        </w:rPr>
        <w:t>（一）经济效益分析</w:t>
      </w:r>
    </w:p>
    <w:p w14:paraId="2F1EBFD4">
      <w:pPr>
        <w:spacing w:line="560" w:lineRule="exact"/>
        <w:ind w:firstLine="640" w:firstLineChars="200"/>
        <w:rPr>
          <w:rStyle w:val="20"/>
          <w:rFonts w:hint="eastAsia" w:ascii="仿宋_GB2312" w:hAnsi="Calibri" w:eastAsia="仿宋_GB2312"/>
          <w:sz w:val="32"/>
          <w:szCs w:val="32"/>
        </w:rPr>
      </w:pPr>
      <w:r>
        <w:rPr>
          <w:rStyle w:val="20"/>
          <w:rFonts w:hint="eastAsia" w:ascii="仿宋_GB2312" w:hAnsi="Calibri" w:eastAsia="仿宋_GB2312"/>
          <w:sz w:val="32"/>
          <w:szCs w:val="32"/>
        </w:rPr>
        <w:t>水资源的稳定供应对于城市和经济的发展至关重要。水厂的建设能够推动城市和地区的经济发展，为各类产业提供稳定的水源保障。同时，随着水厂技术的不断升级和改进，也能够促进相关产业的发展，如供水设备、管材、水处理剂等产业，为经济增长注入新的动力。</w:t>
      </w:r>
    </w:p>
    <w:p w14:paraId="24477AF9">
      <w:pPr>
        <w:spacing w:line="560" w:lineRule="exact"/>
        <w:ind w:firstLine="640" w:firstLineChars="200"/>
        <w:rPr>
          <w:rStyle w:val="20"/>
          <w:rFonts w:hint="eastAsia" w:ascii="仿宋_GB2312" w:hAnsi="Calibri" w:eastAsia="仿宋_GB2312"/>
          <w:sz w:val="32"/>
          <w:szCs w:val="32"/>
        </w:rPr>
      </w:pPr>
      <w:r>
        <w:rPr>
          <w:rStyle w:val="20"/>
          <w:rFonts w:hint="eastAsia" w:ascii="仿宋_GB2312" w:hAnsi="Calibri" w:eastAsia="仿宋_GB2312"/>
          <w:sz w:val="32"/>
          <w:szCs w:val="32"/>
        </w:rPr>
        <w:t>水厂建设的经济效益还体现在投资成本的节约上。通过科学规划和合理设计，水厂能够利用最少的资源投入，实现最大的产能输出。这包括优化工艺流程、选择高效节能的设备、减少不必要的建设环节等，从而有效降低初期投资成本。</w:t>
      </w:r>
    </w:p>
    <w:p w14:paraId="6ADCD633">
      <w:pPr>
        <w:spacing w:line="560" w:lineRule="exact"/>
        <w:ind w:firstLine="640" w:firstLineChars="200"/>
        <w:rPr>
          <w:rStyle w:val="20"/>
          <w:rFonts w:ascii="仿宋_GB2312" w:hAnsi="Calibri" w:eastAsia="仿宋_GB2312"/>
          <w:sz w:val="32"/>
          <w:szCs w:val="32"/>
        </w:rPr>
      </w:pPr>
      <w:r>
        <w:rPr>
          <w:rStyle w:val="20"/>
          <w:rFonts w:hint="eastAsia" w:ascii="仿宋_GB2312" w:hAnsi="Calibri" w:eastAsia="仿宋_GB2312"/>
          <w:sz w:val="32"/>
          <w:szCs w:val="32"/>
        </w:rPr>
        <w:t>综上所述，水厂建设在经济效益方面具有多方面的优势。通过投资成本节约、水资源高效利用、运营成本降低、能源消耗减少、水价合理调控、供水量增加、市场竞争力提升以及社会效益显著等方面的努力，水厂建设不仅能够为供水企业带来可观的经济收益，还能够为社会的可持续发展做出重要贡献</w:t>
      </w:r>
      <w:r>
        <w:rPr>
          <w:rStyle w:val="20"/>
          <w:rFonts w:ascii="仿宋_GB2312" w:hAnsi="Calibri" w:eastAsia="仿宋_GB2312"/>
          <w:sz w:val="32"/>
          <w:szCs w:val="32"/>
        </w:rPr>
        <w:t>。</w:t>
      </w:r>
    </w:p>
    <w:p w14:paraId="51F42B4F">
      <w:pPr>
        <w:pStyle w:val="19"/>
        <w:spacing w:line="560" w:lineRule="exact"/>
        <w:ind w:firstLine="643" w:firstLineChars="200"/>
        <w:jc w:val="both"/>
        <w:rPr>
          <w:rStyle w:val="20"/>
          <w:rFonts w:ascii="楷体_GB2312" w:eastAsia="楷体_GB2312"/>
          <w:b/>
          <w:sz w:val="32"/>
          <w:szCs w:val="32"/>
        </w:rPr>
      </w:pPr>
      <w:r>
        <w:rPr>
          <w:rStyle w:val="20"/>
          <w:rFonts w:ascii="楷体_GB2312" w:eastAsia="楷体_GB2312"/>
          <w:b/>
          <w:sz w:val="32"/>
          <w:szCs w:val="32"/>
        </w:rPr>
        <w:t>（二）社会效益分析</w:t>
      </w:r>
    </w:p>
    <w:p w14:paraId="3160E213">
      <w:pPr>
        <w:pStyle w:val="19"/>
        <w:spacing w:line="560" w:lineRule="exact"/>
        <w:ind w:firstLine="640" w:firstLineChars="200"/>
        <w:jc w:val="both"/>
        <w:rPr>
          <w:rStyle w:val="20"/>
          <w:rFonts w:hint="eastAsia" w:ascii="仿宋_GB2312" w:eastAsia="仿宋_GB2312"/>
          <w:color w:val="000000"/>
          <w:sz w:val="32"/>
          <w:szCs w:val="32"/>
        </w:rPr>
      </w:pPr>
      <w:r>
        <w:rPr>
          <w:rStyle w:val="20"/>
          <w:rFonts w:hint="eastAsia" w:ascii="仿宋_GB2312" w:eastAsia="仿宋_GB2312"/>
          <w:color w:val="000000"/>
          <w:sz w:val="32"/>
          <w:szCs w:val="32"/>
        </w:rPr>
        <w:t>水厂建设通过引入先进的处理技术和设备，显著提升供水质量。高质量的饮用水直接影响了居民的生活品质和健康水平，为居民提供了更加安全、可靠的水资源。</w:t>
      </w:r>
    </w:p>
    <w:p w14:paraId="683D2748">
      <w:pPr>
        <w:pStyle w:val="19"/>
        <w:spacing w:line="560" w:lineRule="exact"/>
        <w:ind w:firstLine="640" w:firstLineChars="200"/>
        <w:jc w:val="both"/>
        <w:rPr>
          <w:rStyle w:val="20"/>
          <w:rFonts w:hint="eastAsia" w:ascii="仿宋_GB2312" w:eastAsia="仿宋_GB2312"/>
          <w:color w:val="000000"/>
          <w:sz w:val="32"/>
          <w:szCs w:val="32"/>
        </w:rPr>
      </w:pPr>
      <w:r>
        <w:rPr>
          <w:rStyle w:val="20"/>
          <w:rFonts w:hint="eastAsia" w:ascii="仿宋_GB2312" w:eastAsia="仿宋_GB2312"/>
          <w:color w:val="000000"/>
          <w:sz w:val="32"/>
          <w:szCs w:val="32"/>
        </w:rPr>
        <w:t>水厂建设不仅关注供水质量和效率，也注重环保和可持续发展。通过引入环保技术和管理措施，水厂建设促进了环境保护意识的提升，引导居民和企业更加关注水资源的保护和合理利用。</w:t>
      </w:r>
    </w:p>
    <w:p w14:paraId="5C2A960C">
      <w:pPr>
        <w:pStyle w:val="19"/>
        <w:spacing w:line="560" w:lineRule="exact"/>
        <w:ind w:firstLine="640" w:firstLineChars="200"/>
        <w:jc w:val="both"/>
        <w:rPr>
          <w:rStyle w:val="20"/>
          <w:rFonts w:hint="eastAsia" w:ascii="仿宋_GB2312" w:eastAsia="仿宋_GB2312"/>
          <w:color w:val="000000"/>
          <w:sz w:val="32"/>
          <w:szCs w:val="32"/>
        </w:rPr>
      </w:pPr>
      <w:r>
        <w:rPr>
          <w:rStyle w:val="20"/>
          <w:rFonts w:hint="eastAsia" w:ascii="仿宋_GB2312" w:eastAsia="仿宋_GB2312"/>
          <w:color w:val="000000"/>
          <w:sz w:val="32"/>
          <w:szCs w:val="32"/>
        </w:rPr>
        <w:t>可靠的饮用水，提高水资源利用效率、减少能源消耗等措施，为社会带来了更多正面影响。这些社会效益的实现，进一步增强了水厂建设的经济效益，形成了良性循环。</w:t>
      </w:r>
    </w:p>
    <w:p w14:paraId="08AB8A3C">
      <w:pPr>
        <w:pStyle w:val="19"/>
        <w:spacing w:line="560" w:lineRule="exact"/>
        <w:ind w:firstLine="640" w:firstLineChars="200"/>
        <w:jc w:val="both"/>
        <w:rPr>
          <w:rStyle w:val="20"/>
          <w:rFonts w:hint="eastAsia" w:ascii="仿宋_GB2312" w:eastAsia="仿宋_GB2312"/>
          <w:color w:val="000000"/>
          <w:sz w:val="32"/>
          <w:szCs w:val="32"/>
        </w:rPr>
      </w:pPr>
      <w:r>
        <w:rPr>
          <w:rStyle w:val="20"/>
          <w:rFonts w:hint="eastAsia" w:ascii="仿宋_GB2312" w:eastAsia="仿宋_GB2312"/>
          <w:color w:val="000000"/>
          <w:sz w:val="32"/>
          <w:szCs w:val="32"/>
        </w:rPr>
        <w:t>综上所述，水厂建设在提升供水质量、保障居民健康、促进经济发展、增加就业机会、优化资源配置、提升城市形象、促进社会公平和增强环保意识等方面都具有显著的社会效益。这些效益的实现不仅提升了居民的生活品质，也为社会的和谐、稳定和可持续发展奠定了坚实基础。</w:t>
      </w:r>
    </w:p>
    <w:p w14:paraId="5A1612D3">
      <w:pPr>
        <w:pStyle w:val="19"/>
        <w:spacing w:line="560" w:lineRule="exact"/>
        <w:ind w:firstLine="640" w:firstLineChars="200"/>
        <w:jc w:val="both"/>
        <w:rPr>
          <w:rStyle w:val="20"/>
          <w:rFonts w:ascii="黑体" w:hAnsi="黑体" w:eastAsia="黑体"/>
          <w:sz w:val="32"/>
          <w:szCs w:val="32"/>
        </w:rPr>
      </w:pPr>
      <w:r>
        <w:rPr>
          <w:rStyle w:val="20"/>
          <w:rFonts w:ascii="黑体" w:hAnsi="黑体" w:eastAsia="黑体"/>
          <w:sz w:val="32"/>
          <w:szCs w:val="32"/>
        </w:rPr>
        <w:t>三、项目投资估算及资金筹措方案</w:t>
      </w:r>
    </w:p>
    <w:p w14:paraId="3C574940">
      <w:pPr>
        <w:spacing w:after="120" w:line="560" w:lineRule="exact"/>
        <w:ind w:firstLine="643" w:firstLineChars="200"/>
        <w:jc w:val="left"/>
        <w:rPr>
          <w:rStyle w:val="20"/>
          <w:rFonts w:ascii="楷体_GB2312" w:eastAsia="楷体_GB2312"/>
          <w:b/>
          <w:sz w:val="32"/>
          <w:szCs w:val="32"/>
        </w:rPr>
      </w:pPr>
      <w:r>
        <w:rPr>
          <w:rStyle w:val="20"/>
          <w:rFonts w:ascii="楷体_GB2312" w:eastAsia="楷体_GB2312"/>
          <w:b/>
          <w:sz w:val="32"/>
          <w:szCs w:val="32"/>
        </w:rPr>
        <w:t>（一）投资估算</w:t>
      </w:r>
    </w:p>
    <w:p w14:paraId="569CD89E">
      <w:pPr>
        <w:spacing w:after="120" w:line="560" w:lineRule="exact"/>
        <w:ind w:firstLine="640" w:firstLineChars="200"/>
        <w:jc w:val="both"/>
        <w:rPr>
          <w:rStyle w:val="20"/>
          <w:rFonts w:ascii="仿宋_GB2312" w:hAnsi="Calibri" w:eastAsia="仿宋_GB2312"/>
          <w:sz w:val="32"/>
          <w:szCs w:val="32"/>
        </w:rPr>
      </w:pPr>
      <w:r>
        <w:rPr>
          <w:rStyle w:val="20"/>
          <w:rFonts w:hint="eastAsia" w:ascii="仿宋_GB2312" w:hAnsi="Calibri" w:eastAsia="仿宋_GB2312"/>
          <w:sz w:val="32"/>
          <w:szCs w:val="32"/>
        </w:rPr>
        <w:t>本项目总投资169953.93万元，其中静态投资（建设投资）163473.93万元，占总投资比例为96.19%；建设期债券利息为6400.00万元，占总投资比例为3.77%；发行费用为80.00万元，占总投资比例为0.05%</w:t>
      </w:r>
      <w:r>
        <w:rPr>
          <w:rStyle w:val="20"/>
          <w:rFonts w:ascii="仿宋_GB2312" w:hAnsi="Calibri" w:eastAsia="仿宋_GB2312"/>
          <w:sz w:val="32"/>
          <w:szCs w:val="32"/>
        </w:rPr>
        <w:t>。</w:t>
      </w:r>
    </w:p>
    <w:p w14:paraId="7EDCD157">
      <w:pPr>
        <w:spacing w:after="120" w:line="560" w:lineRule="exact"/>
        <w:ind w:firstLine="643" w:firstLineChars="200"/>
        <w:jc w:val="left"/>
        <w:rPr>
          <w:rStyle w:val="20"/>
          <w:rFonts w:ascii="楷体_GB2312" w:eastAsia="楷体_GB2312"/>
          <w:b/>
          <w:sz w:val="32"/>
          <w:szCs w:val="32"/>
        </w:rPr>
      </w:pPr>
      <w:r>
        <w:rPr>
          <w:rStyle w:val="20"/>
          <w:rFonts w:ascii="楷体_GB2312" w:eastAsia="楷体_GB2312"/>
          <w:b/>
          <w:sz w:val="32"/>
          <w:szCs w:val="32"/>
        </w:rPr>
        <w:t>（二）资金筹措方案</w:t>
      </w:r>
    </w:p>
    <w:p w14:paraId="7CC91959">
      <w:pPr>
        <w:spacing w:after="120" w:line="560" w:lineRule="exact"/>
        <w:ind w:firstLine="643" w:firstLineChars="200"/>
        <w:jc w:val="left"/>
        <w:rPr>
          <w:rStyle w:val="20"/>
          <w:rFonts w:ascii="仿宋_GB2312" w:eastAsia="仿宋_GB2312"/>
          <w:b/>
          <w:sz w:val="32"/>
          <w:szCs w:val="32"/>
        </w:rPr>
      </w:pPr>
      <w:r>
        <w:rPr>
          <w:rStyle w:val="20"/>
          <w:rFonts w:ascii="仿宋_GB2312" w:eastAsia="仿宋_GB2312"/>
          <w:b/>
          <w:sz w:val="32"/>
          <w:szCs w:val="32"/>
        </w:rPr>
        <w:t>1.资金筹集情况</w:t>
      </w:r>
    </w:p>
    <w:p w14:paraId="779D55E5">
      <w:pPr>
        <w:spacing w:after="120" w:line="560" w:lineRule="exact"/>
        <w:ind w:firstLine="640" w:firstLineChars="200"/>
        <w:jc w:val="left"/>
        <w:rPr>
          <w:rStyle w:val="20"/>
          <w:rFonts w:hint="eastAsia" w:ascii="仿宋_GB2312" w:hAnsi="Calibri" w:eastAsia="仿宋_GB2312"/>
          <w:sz w:val="32"/>
          <w:szCs w:val="32"/>
        </w:rPr>
      </w:pPr>
      <w:r>
        <w:rPr>
          <w:rStyle w:val="20"/>
          <w:rFonts w:hint="eastAsia" w:ascii="仿宋_GB2312" w:hAnsi="Calibri" w:eastAsia="仿宋_GB2312"/>
          <w:sz w:val="32"/>
          <w:szCs w:val="32"/>
        </w:rPr>
        <w:t>本项目总投资为169953.93万元，资本金来源：项目资本金89953.93万元，占筹措资金总额的52.93%，由业主自筹资金落实解决。</w:t>
      </w:r>
    </w:p>
    <w:p w14:paraId="30645CB5">
      <w:pPr>
        <w:spacing w:after="120" w:line="560" w:lineRule="exact"/>
        <w:ind w:firstLine="640" w:firstLineChars="200"/>
        <w:jc w:val="left"/>
        <w:rPr>
          <w:rStyle w:val="20"/>
          <w:rFonts w:hint="eastAsia" w:ascii="仿宋_GB2312" w:hAnsi="Calibri" w:eastAsia="仿宋_GB2312"/>
          <w:sz w:val="32"/>
          <w:szCs w:val="32"/>
        </w:rPr>
      </w:pPr>
      <w:r>
        <w:rPr>
          <w:rStyle w:val="20"/>
          <w:rFonts w:hint="eastAsia" w:ascii="仿宋_GB2312" w:hAnsi="Calibri" w:eastAsia="仿宋_GB2312"/>
          <w:sz w:val="32"/>
          <w:szCs w:val="32"/>
        </w:rPr>
        <w:t>融资来源：本项目计划发行专项债券80000.00万元，占筹措资金总额的47.07%。债券期限为30年，债券利率按3.2%，每半年支付利息，到期偿还本金测算。债券拟于2025年发行20000.00万元,2026年发行20000.00万元，2027年发行20000.00万元，2028年发行20000.00万元。除专项债券外，本项目没有其他融资。</w:t>
      </w:r>
    </w:p>
    <w:p w14:paraId="3610D051">
      <w:pPr>
        <w:spacing w:after="120" w:line="560" w:lineRule="exact"/>
        <w:ind w:firstLine="643" w:firstLineChars="200"/>
        <w:jc w:val="left"/>
        <w:rPr>
          <w:rStyle w:val="20"/>
          <w:rFonts w:ascii="仿宋_GB2312" w:eastAsia="仿宋_GB2312"/>
          <w:b/>
          <w:sz w:val="32"/>
          <w:szCs w:val="32"/>
        </w:rPr>
      </w:pPr>
      <w:r>
        <w:rPr>
          <w:rStyle w:val="20"/>
          <w:rFonts w:ascii="仿宋_GB2312" w:eastAsia="仿宋_GB2312"/>
          <w:b/>
          <w:sz w:val="32"/>
          <w:szCs w:val="32"/>
        </w:rPr>
        <w:t>2.资金使用计划</w:t>
      </w:r>
    </w:p>
    <w:p w14:paraId="67A3B889">
      <w:pPr>
        <w:spacing w:after="120" w:line="560" w:lineRule="exact"/>
        <w:ind w:firstLine="640" w:firstLineChars="200"/>
        <w:rPr>
          <w:rStyle w:val="20"/>
          <w:rFonts w:ascii="仿宋_GB2312" w:hAnsi="Calibri" w:eastAsia="仿宋_GB2312"/>
          <w:sz w:val="32"/>
          <w:szCs w:val="32"/>
        </w:rPr>
      </w:pPr>
      <w:r>
        <w:rPr>
          <w:rStyle w:val="20"/>
          <w:rFonts w:hint="eastAsia" w:ascii="仿宋_GB2312" w:hAnsi="Calibri" w:eastAsia="仿宋_GB2312"/>
          <w:sz w:val="32"/>
          <w:szCs w:val="32"/>
        </w:rPr>
        <w:t>本项目总投资169953.93万元，2024年计划投资4357.37万元，2025年计划投资70075.50万元，2026年计划投资25732.17万元，2027年计划投资28318.18万元，2028年计划投资41470.71万元。本项目建设期利息和发行费用全部由资本金覆盖</w:t>
      </w:r>
      <w:r>
        <w:rPr>
          <w:rStyle w:val="20"/>
          <w:rFonts w:ascii="仿宋_GB2312" w:hAnsi="Calibri" w:eastAsia="仿宋_GB2312"/>
          <w:sz w:val="32"/>
          <w:szCs w:val="32"/>
        </w:rPr>
        <w:t>。</w:t>
      </w:r>
    </w:p>
    <w:p w14:paraId="541FD746">
      <w:pPr>
        <w:spacing w:after="120" w:line="560" w:lineRule="exact"/>
        <w:ind w:firstLine="640" w:firstLineChars="200"/>
        <w:rPr>
          <w:rStyle w:val="20"/>
          <w:rFonts w:ascii="黑体" w:hAnsi="黑体" w:eastAsia="黑体"/>
          <w:sz w:val="32"/>
          <w:szCs w:val="32"/>
        </w:rPr>
      </w:pPr>
      <w:r>
        <w:rPr>
          <w:rStyle w:val="20"/>
          <w:rFonts w:ascii="黑体" w:hAnsi="黑体" w:eastAsia="黑体"/>
          <w:sz w:val="32"/>
          <w:szCs w:val="32"/>
        </w:rPr>
        <w:t>四、项目预期收益、成本及融资平衡情况</w:t>
      </w:r>
    </w:p>
    <w:p w14:paraId="42DA00D2">
      <w:pPr>
        <w:spacing w:after="120" w:line="560" w:lineRule="exact"/>
        <w:ind w:firstLine="643" w:firstLineChars="200"/>
        <w:rPr>
          <w:rStyle w:val="20"/>
          <w:rFonts w:ascii="楷体_GB2312" w:eastAsia="楷体_GB2312"/>
          <w:b/>
          <w:sz w:val="32"/>
          <w:szCs w:val="32"/>
        </w:rPr>
      </w:pPr>
      <w:r>
        <w:rPr>
          <w:rStyle w:val="20"/>
          <w:rFonts w:ascii="楷体_GB2312" w:eastAsia="楷体_GB2312"/>
          <w:b/>
          <w:sz w:val="32"/>
          <w:szCs w:val="32"/>
        </w:rPr>
        <w:t>（一）预期收益</w:t>
      </w:r>
    </w:p>
    <w:p w14:paraId="48BCD91C">
      <w:pPr>
        <w:spacing w:after="120" w:line="560" w:lineRule="exact"/>
        <w:ind w:firstLine="643" w:firstLineChars="200"/>
        <w:rPr>
          <w:rStyle w:val="20"/>
          <w:rFonts w:ascii="仿宋_GB2312" w:eastAsia="仿宋_GB2312"/>
          <w:b/>
          <w:sz w:val="32"/>
          <w:szCs w:val="32"/>
        </w:rPr>
      </w:pPr>
      <w:r>
        <w:rPr>
          <w:rStyle w:val="20"/>
          <w:rFonts w:ascii="仿宋_GB2312" w:eastAsia="仿宋_GB2312"/>
          <w:b/>
          <w:sz w:val="32"/>
          <w:szCs w:val="32"/>
        </w:rPr>
        <w:t>1.项目收入</w:t>
      </w:r>
    </w:p>
    <w:p w14:paraId="1167EC57">
      <w:pPr>
        <w:spacing w:after="120" w:line="560" w:lineRule="exact"/>
        <w:ind w:firstLine="640" w:firstLineChars="200"/>
        <w:rPr>
          <w:rStyle w:val="20"/>
          <w:rFonts w:ascii="仿宋_GB2312" w:hAnsi="仿宋_GB2312" w:eastAsia="仿宋_GB2312"/>
          <w:sz w:val="32"/>
          <w:szCs w:val="32"/>
        </w:rPr>
      </w:pPr>
      <w:r>
        <w:rPr>
          <w:rStyle w:val="20"/>
          <w:rFonts w:hint="eastAsia" w:ascii="仿宋_GB2312" w:hAnsi="仿宋_GB2312" w:eastAsia="仿宋_GB2312"/>
          <w:sz w:val="32"/>
          <w:szCs w:val="32"/>
        </w:rPr>
        <w:t>本项目的预期收益点为：供水收入。各项收入单价均按市场调节价或根据同类型业务市场单价估算</w:t>
      </w:r>
      <w:r>
        <w:rPr>
          <w:rStyle w:val="20"/>
          <w:rFonts w:hint="eastAsia" w:ascii="仿宋_GB2312" w:hAnsi="仿宋_GB2312" w:eastAsia="仿宋_GB2312"/>
          <w:sz w:val="32"/>
          <w:szCs w:val="32"/>
          <w:lang w:eastAsia="zh-CN"/>
        </w:rPr>
        <w:t>。经测算，运营期内可实现项目总收入355013.95万元</w:t>
      </w:r>
      <w:r>
        <w:rPr>
          <w:rStyle w:val="20"/>
          <w:rFonts w:ascii="仿宋_GB2312" w:hAnsi="仿宋_GB2312" w:eastAsia="仿宋_GB2312"/>
          <w:sz w:val="32"/>
          <w:szCs w:val="32"/>
        </w:rPr>
        <w:t>。</w:t>
      </w:r>
    </w:p>
    <w:p w14:paraId="79EAE109">
      <w:pPr>
        <w:spacing w:after="120" w:line="560" w:lineRule="exact"/>
        <w:ind w:firstLine="643" w:firstLineChars="200"/>
        <w:rPr>
          <w:rStyle w:val="20"/>
          <w:rFonts w:ascii="仿宋_GB2312" w:eastAsia="仿宋_GB2312"/>
          <w:b/>
          <w:sz w:val="32"/>
          <w:szCs w:val="32"/>
        </w:rPr>
      </w:pPr>
      <w:r>
        <w:rPr>
          <w:rStyle w:val="20"/>
          <w:rFonts w:ascii="仿宋_GB2312" w:eastAsia="仿宋_GB2312"/>
          <w:b/>
          <w:sz w:val="32"/>
          <w:szCs w:val="32"/>
        </w:rPr>
        <w:t>2.项目成本</w:t>
      </w:r>
    </w:p>
    <w:p w14:paraId="06491032">
      <w:pPr>
        <w:spacing w:line="560" w:lineRule="exact"/>
        <w:ind w:firstLine="640" w:firstLineChars="200"/>
        <w:rPr>
          <w:rStyle w:val="20"/>
          <w:rFonts w:ascii="仿宋_GB2312" w:eastAsia="仿宋_GB2312"/>
          <w:sz w:val="28"/>
          <w:szCs w:val="24"/>
        </w:rPr>
      </w:pPr>
      <w:r>
        <w:rPr>
          <w:rStyle w:val="20"/>
          <w:rFonts w:hint="eastAsia" w:ascii="仿宋_GB2312" w:eastAsia="仿宋_GB2312"/>
          <w:sz w:val="32"/>
          <w:szCs w:val="32"/>
          <w:lang w:eastAsia="zh-CN"/>
        </w:rPr>
        <w:t>宣汉县乡村水务试点县供水保障工程</w:t>
      </w:r>
      <w:r>
        <w:rPr>
          <w:rStyle w:val="20"/>
          <w:rFonts w:hint="eastAsia" w:ascii="仿宋_GB2312" w:eastAsia="仿宋_GB2312"/>
          <w:sz w:val="32"/>
          <w:szCs w:val="32"/>
        </w:rPr>
        <w:t>成本预测，主要财务费用、项目经营成本费用、折旧摊销费用等。项目成本测算根据项目可行性研究报告及相关资料，结合类似项目及项目所在地市场情况考虑</w:t>
      </w:r>
      <w:r>
        <w:rPr>
          <w:rStyle w:val="20"/>
          <w:rFonts w:ascii="仿宋_GB2312" w:eastAsia="仿宋_GB2312"/>
          <w:sz w:val="32"/>
          <w:szCs w:val="32"/>
        </w:rPr>
        <w:t>，</w:t>
      </w:r>
      <w:r>
        <w:rPr>
          <w:rStyle w:val="20"/>
          <w:rFonts w:hint="eastAsia" w:ascii="仿宋_GB2312" w:eastAsia="仿宋_GB2312"/>
          <w:sz w:val="32"/>
          <w:szCs w:val="32"/>
        </w:rPr>
        <w:t>项目总成本费用共255031.31万元</w:t>
      </w:r>
      <w:r>
        <w:rPr>
          <w:rStyle w:val="20"/>
          <w:rFonts w:ascii="仿宋_GB2312" w:eastAsia="仿宋_GB2312"/>
          <w:sz w:val="32"/>
          <w:szCs w:val="32"/>
        </w:rPr>
        <w:t>。</w:t>
      </w:r>
    </w:p>
    <w:p w14:paraId="7B482F93">
      <w:pPr>
        <w:spacing w:after="120" w:line="560" w:lineRule="exact"/>
        <w:ind w:firstLine="643" w:firstLineChars="200"/>
        <w:rPr>
          <w:rStyle w:val="20"/>
          <w:rFonts w:ascii="楷体_GB2312" w:eastAsia="楷体_GB2312"/>
          <w:b/>
          <w:sz w:val="32"/>
          <w:szCs w:val="32"/>
        </w:rPr>
      </w:pPr>
      <w:r>
        <w:rPr>
          <w:rStyle w:val="20"/>
          <w:rFonts w:ascii="楷体_GB2312" w:eastAsia="楷体_GB2312"/>
          <w:b/>
          <w:sz w:val="32"/>
          <w:szCs w:val="32"/>
        </w:rPr>
        <w:t>（二）资金测算平衡情况</w:t>
      </w:r>
    </w:p>
    <w:p w14:paraId="063C09BF">
      <w:pPr>
        <w:snapToGrid w:val="0"/>
        <w:spacing w:after="217" w:line="560" w:lineRule="exact"/>
        <w:ind w:firstLine="612" w:firstLineChars="200"/>
        <w:jc w:val="both"/>
        <w:rPr>
          <w:rStyle w:val="20"/>
          <w:rFonts w:ascii="仿宋_GB2312" w:eastAsia="仿宋_GB2312"/>
          <w:spacing w:val="-7"/>
          <w:sz w:val="32"/>
          <w:szCs w:val="32"/>
        </w:rPr>
        <w:sectPr>
          <w:pgSz w:w="11906" w:h="16838"/>
          <w:pgMar w:top="2098" w:right="1418" w:bottom="1588" w:left="1644" w:header="851" w:footer="992" w:gutter="0"/>
          <w:pgNumType w:start="1"/>
          <w:cols w:space="425" w:num="1"/>
          <w:docGrid w:type="lines" w:linePitch="435" w:charSpace="0"/>
        </w:sectPr>
      </w:pPr>
      <w:r>
        <w:rPr>
          <w:rStyle w:val="20"/>
          <w:rFonts w:hint="eastAsia" w:ascii="仿宋_GB2312" w:eastAsia="仿宋_GB2312"/>
          <w:spacing w:val="-7"/>
          <w:sz w:val="32"/>
          <w:szCs w:val="32"/>
        </w:rPr>
        <w:t>计算期内累计资金流入524967.88万元，累计资金流出404224.37万元，累计现金结余120743.51万元。本项目80000.00万元专项债券到期时，在偿还当年到期的债券本息后，将仍有120743.51万元的累计现金结余，项目本息覆盖倍数为1.87倍，期间将不存在任何资金缺口</w:t>
      </w:r>
      <w:r>
        <w:rPr>
          <w:rStyle w:val="20"/>
          <w:rFonts w:ascii="仿宋_GB2312" w:eastAsia="仿宋_GB2312"/>
          <w:spacing w:val="-7"/>
          <w:sz w:val="32"/>
          <w:szCs w:val="32"/>
        </w:rPr>
        <w:t>。</w:t>
      </w:r>
    </w:p>
    <w:p w14:paraId="6D0841EE">
      <w:pPr>
        <w:spacing w:after="80" w:line="240" w:lineRule="auto"/>
        <w:ind w:firstLine="240" w:firstLineChars="100"/>
        <w:rPr>
          <w:rFonts w:hint="eastAsia" w:ascii="等线" w:hAnsi="等线" w:eastAsia="等线" w:cs="宋体"/>
          <w:b/>
          <w:bCs/>
          <w:color w:val="000000"/>
          <w:kern w:val="0"/>
          <w:sz w:val="24"/>
          <w:szCs w:val="24"/>
          <w:lang w:val="en-GB" w:bidi="ar"/>
        </w:rPr>
      </w:pPr>
      <w:bookmarkStart w:id="0" w:name="_Hlk56084709"/>
      <w:r>
        <w:rPr>
          <w:rFonts w:hint="eastAsia" w:ascii="等线" w:hAnsi="等线" w:eastAsia="等线" w:cs="宋体"/>
          <w:b/>
          <w:bCs/>
          <w:color w:val="000000"/>
          <w:kern w:val="0"/>
          <w:sz w:val="24"/>
          <w:szCs w:val="24"/>
          <w:lang w:val="en-GB" w:bidi="ar"/>
        </w:rPr>
        <w:t>附表</w:t>
      </w:r>
      <w:r>
        <w:rPr>
          <w:rFonts w:hint="eastAsia" w:ascii="等线" w:hAnsi="等线" w:eastAsia="等线" w:cs="宋体"/>
          <w:b/>
          <w:bCs/>
          <w:color w:val="000000"/>
          <w:kern w:val="0"/>
          <w:sz w:val="24"/>
          <w:szCs w:val="24"/>
          <w:lang w:val="en-US" w:eastAsia="zh-CN" w:bidi="ar"/>
        </w:rPr>
        <w:t>3</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val="en-US" w:eastAsia="zh-CN" w:bidi="ar"/>
        </w:rPr>
        <w:t>1</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项目资金测算平衡表</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金额</w:t>
      </w:r>
      <w:r>
        <w:rPr>
          <w:rFonts w:hint="eastAsia" w:ascii="等线" w:hAnsi="等线" w:eastAsia="等线" w:cs="宋体"/>
          <w:b/>
          <w:bCs/>
          <w:color w:val="000000"/>
          <w:kern w:val="0"/>
          <w:sz w:val="24"/>
          <w:szCs w:val="24"/>
          <w:lang w:val="en-GB" w:bidi="ar"/>
        </w:rPr>
        <w:t>单位：万元）</w:t>
      </w:r>
    </w:p>
    <w:tbl>
      <w:tblPr>
        <w:tblStyle w:val="12"/>
        <w:tblW w:w="16428" w:type="dxa"/>
        <w:jc w:val="center"/>
        <w:tblLayout w:type="autofit"/>
        <w:tblCellMar>
          <w:top w:w="0" w:type="dxa"/>
          <w:left w:w="108" w:type="dxa"/>
          <w:bottom w:w="0" w:type="dxa"/>
          <w:right w:w="108" w:type="dxa"/>
        </w:tblCellMar>
      </w:tblPr>
      <w:tblGrid>
        <w:gridCol w:w="523"/>
        <w:gridCol w:w="1127"/>
        <w:gridCol w:w="821"/>
        <w:gridCol w:w="821"/>
        <w:gridCol w:w="821"/>
        <w:gridCol w:w="821"/>
        <w:gridCol w:w="821"/>
        <w:gridCol w:w="821"/>
        <w:gridCol w:w="821"/>
        <w:gridCol w:w="821"/>
        <w:gridCol w:w="821"/>
        <w:gridCol w:w="821"/>
        <w:gridCol w:w="821"/>
        <w:gridCol w:w="821"/>
        <w:gridCol w:w="821"/>
        <w:gridCol w:w="821"/>
        <w:gridCol w:w="821"/>
        <w:gridCol w:w="821"/>
        <w:gridCol w:w="821"/>
        <w:gridCol w:w="821"/>
      </w:tblGrid>
      <w:tr w14:paraId="48DD98AF">
        <w:tblPrEx>
          <w:tblCellMar>
            <w:top w:w="0" w:type="dxa"/>
            <w:left w:w="108" w:type="dxa"/>
            <w:bottom w:w="0" w:type="dxa"/>
            <w:right w:w="108" w:type="dxa"/>
          </w:tblCellMar>
        </w:tblPrEx>
        <w:trPr>
          <w:trHeight w:val="621"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37FF3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序号</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47460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项目</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56ABA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2024年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04CE9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2025年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770A7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2026年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D86DB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2027年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F6B99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2028年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3A85B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2029年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2959C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2030年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6546D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2031年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C488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2032年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573E6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2033年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00F93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2034年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647A2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2035年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AE401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2036年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DCC49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2037年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6E845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2038年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D89D8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2039年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212C2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2040年</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A7867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2041年</w:t>
            </w:r>
          </w:p>
        </w:tc>
      </w:tr>
      <w:tr w14:paraId="76325A89">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37402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一</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A5C69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资金来源</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BFF98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4357.37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D38655">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70075.50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D534C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25732.17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55D40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28318.18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B53EA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41470.71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0980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9278.59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443F5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9858.50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E084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10438.42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D068C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11018.33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50841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E8527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B0F04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FECB7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CFFE0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521B8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F7E07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6B12D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BDB0B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r>
      <w:tr w14:paraId="623CD903">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C8411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75EAF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自有资金</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C4F1B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4357.37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7A7C81">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50075.50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075E8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5732.17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1DF3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8318.18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9E3FF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21470.71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07C20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ABCA0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26AE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7CCDA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EA6B6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27A2F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A4A9D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136B9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13C10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E0C12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5E8A9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F7E77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77E94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r w14:paraId="77BDEEAC">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5E419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2</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06F27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营业收入</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90399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FEFDF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620D4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A526A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C7B84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F5EBD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9278.59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66563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9858.50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06B9D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10438.42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149E5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11018.33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0A2CC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65376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0AFAC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429F8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E904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11348.88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20C66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877D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CA812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CA377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r>
      <w:tr w14:paraId="235C1164">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7A29A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3</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9CDE8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财政资金</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11F2B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98C16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414AF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E4B8F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97FAF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84F5B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D3F2C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14BE9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DF7C1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A8802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4862E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072DD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7700A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60D54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E2804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60C15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E62FB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C1B57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r w14:paraId="4713A798">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13FDC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4</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FB639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融资流入</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29008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0554EA">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20000.00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977F1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20000.00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F4107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20000.00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278C87">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20000.00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46E9D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85ABE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21A69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010D0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DB06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44C6E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8FF00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F7068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C2D47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5DCE7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C79BE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B3D3F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D8752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r w14:paraId="1B70EE50">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115C3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5</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0C913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其他流入</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2AB00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B01BB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2327A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4D6A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9CC71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8DF30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B1263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12E6B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28D35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3F9B0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2C064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F9D9B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2207F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994BE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01B25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2369C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9DDDA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4CE16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r w14:paraId="7EFD41A9">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73332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二</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7D381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资金运用</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DD2ED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4357.37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5B6E5C">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70075.50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A5A15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25732.17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2BE30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28318.18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B205A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41470.71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9067C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4474.06</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EB3F4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4509.34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E645E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4544.72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15807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4580.21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EE609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4602.85</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FCA1B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4608.36</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D535B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4614.01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7B4CF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4619.76</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45114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4683.83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B581D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4793.25</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42671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5425.54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7A247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5430.20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D4CE5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5434.97</w:t>
            </w:r>
          </w:p>
        </w:tc>
      </w:tr>
      <w:tr w14:paraId="1CABFBCB">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CCF0F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455A2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项目投资</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A0278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4357.37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19BAC3">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70075.50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EBEA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25732.17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5EC2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28318.18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C1974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41470.71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D5ED2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F7503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CC915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178A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AE5D4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3E17D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251D7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E77AC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5EE2E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33053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5B03C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AC3D4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B8E81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r w14:paraId="19A42700">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E75AE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1.1</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967C8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建设投资</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33F42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4357.37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2A3CF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69415.50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72479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24432.17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317DF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26378.18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BA4E3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38890.71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57538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BF05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B0A12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22798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D2AA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91C4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3DEB8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81E5C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58B24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BBFCF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E5AD1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2EE94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B84E6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r w14:paraId="0EA97362">
        <w:tblPrEx>
          <w:tblCellMar>
            <w:top w:w="0" w:type="dxa"/>
            <w:left w:w="108" w:type="dxa"/>
            <w:bottom w:w="0" w:type="dxa"/>
            <w:right w:w="108" w:type="dxa"/>
          </w:tblCellMar>
        </w:tblPrEx>
        <w:trPr>
          <w:trHeight w:val="621"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78E83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1.2</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716F2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建设期利息</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C3127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A79E5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640.00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2644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1280.00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7D7DD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1920.00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52561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BE4D5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A8A11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38136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4DDA1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4308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B6ABE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E406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293D6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267D8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AA725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16CB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38A2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3801C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r w14:paraId="793CF663">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BC37A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1.3</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AF5B8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发行费用</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5738C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A62D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1EBA8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E7BB5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0BE0A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B59EB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97841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B4230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AFA85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DAF12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62E25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92677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8393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D8C07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5D416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A297B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3CB2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B6934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r w14:paraId="14FB49E4">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C52DE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2</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7DB23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运营成本</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2B62B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5F14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B6D80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89B80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66466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A6BC8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1914.06</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9C215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1949.34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B9238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1984.72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95196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2020.21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D88E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2042.85</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7A982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2048.36</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2C08E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2054.01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5D6B1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2059.76</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E32D6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2065.63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1712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2089.31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6FC45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1947.73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CCBE5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1953.94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ADC21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1960.30</w:t>
            </w:r>
          </w:p>
        </w:tc>
      </w:tr>
      <w:tr w14:paraId="13CB8E35">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4E746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2.1</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D3DB8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销售税费</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96A3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8B8A5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47938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F2C2E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2B3E1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F9675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297.28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FE925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315.85</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087E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334.43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AB0F5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353.02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77AB8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363.61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FC6C1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363.61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CB15C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363.61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0F5D5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363.61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7BDE1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363.61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4074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374.51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96F57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374.51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54DB6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374.51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720F8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374.51</w:t>
            </w:r>
          </w:p>
        </w:tc>
      </w:tr>
      <w:tr w14:paraId="4D668A9E">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1B560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2.2</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F3A8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经营成本</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3548E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A9A1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3530F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4C68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601AF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F7DA0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1616.78</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7476B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1633.49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FB369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1650.29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6A8FE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1667.19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F889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1679.24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772A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1684.75</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8739A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1690.40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BC921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1696.15</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3D59F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1702.02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B0476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1714.80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AED2A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1573.22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D4A4B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1579.43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BFDBF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1585.79</w:t>
            </w:r>
          </w:p>
        </w:tc>
      </w:tr>
      <w:tr w14:paraId="5FA823A9">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E09AD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3</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A173A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所得税</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DF0BE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D8CA9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E1516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FDE0E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AA902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6920E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F231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3056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42E92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F85C5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BF66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7F9F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ACABC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46DCA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58.20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8C4AC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143.94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CEEF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917.81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0912B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916.26</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1FAFC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914.67</w:t>
            </w:r>
          </w:p>
        </w:tc>
      </w:tr>
      <w:tr w14:paraId="1E8DFE0B">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D029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4</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08CF1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偿还本金</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FD91B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CB72E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38B9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0EF5E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FB59F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B5EB3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0D31B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39F63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A6FAD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F2CAB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57FE4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C22F1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96AFE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E7CDA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C915C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516C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58E0E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BA139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r w14:paraId="4910758A">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7A75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5</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B890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支付利息</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85866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81C64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9F853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C6E53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53BB4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4866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E5280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3DBC7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73B09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4A73D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4AB0A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67132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703B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35FB3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F42DB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8BE96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8504C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153EA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r>
      <w:tr w14:paraId="388B6BDD">
        <w:tblPrEx>
          <w:tblCellMar>
            <w:top w:w="0" w:type="dxa"/>
            <w:left w:w="108" w:type="dxa"/>
            <w:bottom w:w="0" w:type="dxa"/>
            <w:right w:w="108" w:type="dxa"/>
          </w:tblCellMar>
        </w:tblPrEx>
        <w:trPr>
          <w:trHeight w:val="344"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9FAD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三</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7C29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盈余资金</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10400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75BA2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2D03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ABD13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85D3A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1612C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4804.53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DC077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5349.16</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17DEB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5893.70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C6DA1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6438.12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A930C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6746.03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C1BB6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6740.52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40431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6734.87</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5A211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6729.12</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B5675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6665.05</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4A86F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6896.09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279B9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6263.80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882FF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6259.14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40CC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6254.37</w:t>
            </w:r>
          </w:p>
        </w:tc>
      </w:tr>
      <w:tr w14:paraId="0F05F699">
        <w:tblPrEx>
          <w:tblCellMar>
            <w:top w:w="0" w:type="dxa"/>
            <w:left w:w="108" w:type="dxa"/>
            <w:bottom w:w="0" w:type="dxa"/>
            <w:right w:w="108" w:type="dxa"/>
          </w:tblCellMar>
        </w:tblPrEx>
        <w:trPr>
          <w:trHeight w:val="690" w:hRule="atLeast"/>
          <w:jc w:val="center"/>
        </w:trPr>
        <w:tc>
          <w:tcPr>
            <w:tcW w:w="5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B5C5E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四</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5960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累计盈余资金</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09F22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9B60A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D830D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D5F69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61632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24E14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4804.53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E21C2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10153.69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5FF8E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16047.39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DDDC1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22485.51</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039B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29231.54</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C3DF0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35972.06</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4FE17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42706.93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8873F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49436.05</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D64C6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56101.10</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3E250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62997.19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1F189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69260.99</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FF48A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75520.13</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92E27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81774.50</w:t>
            </w:r>
          </w:p>
        </w:tc>
      </w:tr>
    </w:tbl>
    <w:p w14:paraId="6F9FE62C">
      <w:pPr>
        <w:spacing w:after="80" w:line="240" w:lineRule="auto"/>
        <w:ind w:firstLine="240" w:firstLineChars="100"/>
        <w:rPr>
          <w:rFonts w:hint="eastAsia" w:ascii="等线" w:hAnsi="等线" w:eastAsia="等线" w:cs="宋体"/>
          <w:b/>
          <w:bCs/>
          <w:color w:val="000000"/>
          <w:kern w:val="0"/>
          <w:sz w:val="24"/>
          <w:szCs w:val="24"/>
          <w:lang w:val="en-GB" w:bidi="ar"/>
        </w:rPr>
      </w:pPr>
    </w:p>
    <w:bookmarkEnd w:id="0"/>
    <w:p w14:paraId="10C12CB1">
      <w:pPr>
        <w:spacing w:after="80" w:line="240" w:lineRule="auto"/>
        <w:ind w:firstLine="240" w:firstLineChars="100"/>
        <w:rPr>
          <w:rFonts w:hint="eastAsia" w:ascii="等线" w:hAnsi="等线" w:eastAsia="等线" w:cs="宋体"/>
          <w:b/>
          <w:bCs/>
          <w:color w:val="000000"/>
          <w:kern w:val="0"/>
          <w:sz w:val="24"/>
          <w:szCs w:val="24"/>
          <w:lang w:val="en-US" w:eastAsia="zh-CN" w:bidi="ar"/>
        </w:rPr>
        <w:sectPr>
          <w:pgSz w:w="16838" w:h="11906"/>
          <w:pgMar w:top="1440" w:right="1803" w:bottom="1440" w:left="1803" w:header="851" w:footer="992" w:gutter="0"/>
          <w:cols w:space="425" w:num="1"/>
          <w:docGrid w:type="lines" w:linePitch="435" w:charSpace="0"/>
        </w:sectPr>
      </w:pPr>
    </w:p>
    <w:p w14:paraId="32756A8A">
      <w:pPr>
        <w:spacing w:after="80" w:line="240" w:lineRule="auto"/>
        <w:ind w:firstLine="240" w:firstLineChars="100"/>
        <w:rPr>
          <w:rFonts w:hint="eastAsia" w:ascii="等线" w:hAnsi="等线" w:eastAsia="等线" w:cs="宋体"/>
          <w:b/>
          <w:bCs/>
          <w:color w:val="000000"/>
          <w:kern w:val="0"/>
          <w:sz w:val="24"/>
          <w:szCs w:val="24"/>
          <w:lang w:val="en-GB" w:bidi="ar"/>
        </w:rPr>
      </w:pPr>
      <w:r>
        <w:rPr>
          <w:rFonts w:hint="eastAsia" w:ascii="等线" w:hAnsi="等线" w:eastAsia="等线" w:cs="宋体"/>
          <w:b/>
          <w:bCs/>
          <w:color w:val="000000"/>
          <w:kern w:val="0"/>
          <w:sz w:val="24"/>
          <w:szCs w:val="24"/>
          <w:lang w:val="en-US" w:eastAsia="zh-CN" w:bidi="ar"/>
        </w:rPr>
        <w:t>续</w:t>
      </w:r>
      <w:r>
        <w:rPr>
          <w:rFonts w:hint="eastAsia" w:ascii="等线" w:hAnsi="等线" w:eastAsia="等线" w:cs="宋体"/>
          <w:b/>
          <w:bCs/>
          <w:color w:val="000000"/>
          <w:kern w:val="0"/>
          <w:sz w:val="24"/>
          <w:szCs w:val="24"/>
          <w:lang w:val="en-GB" w:bidi="ar"/>
        </w:rPr>
        <w:t>表</w:t>
      </w:r>
      <w:r>
        <w:rPr>
          <w:rFonts w:hint="eastAsia" w:ascii="等线" w:hAnsi="等线" w:eastAsia="等线" w:cs="宋体"/>
          <w:b/>
          <w:bCs/>
          <w:color w:val="000000"/>
          <w:kern w:val="0"/>
          <w:sz w:val="24"/>
          <w:szCs w:val="24"/>
          <w:lang w:val="en-US" w:eastAsia="zh-CN" w:bidi="ar"/>
        </w:rPr>
        <w:t>3</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val="en-US" w:eastAsia="zh-CN" w:bidi="ar"/>
        </w:rPr>
        <w:t>1</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项目资金测算平衡表</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金额</w:t>
      </w:r>
      <w:r>
        <w:rPr>
          <w:rFonts w:hint="eastAsia" w:ascii="等线" w:hAnsi="等线" w:eastAsia="等线" w:cs="宋体"/>
          <w:b/>
          <w:bCs/>
          <w:color w:val="000000"/>
          <w:kern w:val="0"/>
          <w:sz w:val="24"/>
          <w:szCs w:val="24"/>
          <w:lang w:val="en-GB" w:bidi="ar"/>
        </w:rPr>
        <w:t>单位：万元）</w:t>
      </w:r>
    </w:p>
    <w:tbl>
      <w:tblPr>
        <w:tblStyle w:val="12"/>
        <w:tblW w:w="16407" w:type="dxa"/>
        <w:jc w:val="center"/>
        <w:tblLayout w:type="fixed"/>
        <w:tblCellMar>
          <w:top w:w="0" w:type="dxa"/>
          <w:left w:w="108" w:type="dxa"/>
          <w:bottom w:w="0" w:type="dxa"/>
          <w:right w:w="108" w:type="dxa"/>
        </w:tblCellMar>
      </w:tblPr>
      <w:tblGrid>
        <w:gridCol w:w="452"/>
        <w:gridCol w:w="866"/>
        <w:gridCol w:w="827"/>
        <w:gridCol w:w="827"/>
        <w:gridCol w:w="827"/>
        <w:gridCol w:w="827"/>
        <w:gridCol w:w="827"/>
        <w:gridCol w:w="827"/>
        <w:gridCol w:w="827"/>
        <w:gridCol w:w="827"/>
        <w:gridCol w:w="827"/>
        <w:gridCol w:w="827"/>
        <w:gridCol w:w="827"/>
        <w:gridCol w:w="827"/>
        <w:gridCol w:w="827"/>
        <w:gridCol w:w="827"/>
        <w:gridCol w:w="827"/>
        <w:gridCol w:w="827"/>
        <w:gridCol w:w="903"/>
        <w:gridCol w:w="954"/>
      </w:tblGrid>
      <w:tr w14:paraId="7931EBD0">
        <w:tblPrEx>
          <w:tblCellMar>
            <w:top w:w="0" w:type="dxa"/>
            <w:left w:w="108" w:type="dxa"/>
            <w:bottom w:w="0" w:type="dxa"/>
            <w:right w:w="108" w:type="dxa"/>
          </w:tblCellMar>
        </w:tblPrEx>
        <w:trPr>
          <w:trHeight w:val="603"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DF2F6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序号</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2988E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项目</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53CD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2042年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ACC04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2043年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5A37E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2044年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1F11A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2045年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4F5C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2046年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84CEE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2047年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02029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2048年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2ACA5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2049年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A0C01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2050年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F55E5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2051年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31D7F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2052年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3647A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2053年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681C0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2054年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8E9A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2055年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F877B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2056年</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15B5B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2057年</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E84BD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2058年</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B2AA0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val="en-US" w:eastAsia="zh-CN" w:bidi="ar"/>
              </w:rPr>
              <w:t>合计</w:t>
            </w:r>
          </w:p>
        </w:tc>
      </w:tr>
      <w:tr w14:paraId="57A00573">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3094F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一</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CF415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资金来源</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0B55C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E616E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092F1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60BF1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902D6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29892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7E74E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56B6E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B47E1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56D41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140B2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FC3D2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C3735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C867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2FE72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C3FED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153E8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13156.46</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B82A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524967.88</w:t>
            </w:r>
          </w:p>
        </w:tc>
      </w:tr>
      <w:tr w14:paraId="352F2AD8">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FE033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F1BA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自有资金</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5472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67DA2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2886C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C8134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987C7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EB836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1CB34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17633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72C4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7B334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6C0D0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3DA42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E823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667E5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092A2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A287C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40FD2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3C5253">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89953.93</w:t>
            </w:r>
          </w:p>
        </w:tc>
      </w:tr>
      <w:tr w14:paraId="46DD33F6">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8B818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2</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F3EDF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营业收入</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FC9D8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11689.34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352A5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A6898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F7AB4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73BB4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E595B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12040.02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ADB3B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D582A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00FE9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3448E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E133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12401.23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43FD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29FB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95B2D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FB35B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48126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12773.26</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F7F03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13156.46</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710D2">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355013.95</w:t>
            </w:r>
          </w:p>
        </w:tc>
      </w:tr>
      <w:tr w14:paraId="7BCCDEFA">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1F3EE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3</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BC27C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财政资金</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4E3E8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C0AC7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4FD4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5D23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AEECD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BFB71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DEAFF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105CD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C63EA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5D8BD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CB944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0405F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669C7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8D6E1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5B25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58683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A3A67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5961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r>
      <w:tr w14:paraId="28B31267">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93141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4</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77303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融资流入</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828BA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35147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5EB79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B571E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DF42D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1349F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09036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4B0F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956A5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1E626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B1E37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70CC4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58F35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7D2C8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20EBB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E99D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601A2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D83697">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80000.00</w:t>
            </w:r>
          </w:p>
        </w:tc>
      </w:tr>
      <w:tr w14:paraId="39ACADBC">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D5C13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5</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619BD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其他流入</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A3761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F74AE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00FF8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854D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BC3BD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50585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599BA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B6442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61026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A6F84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8F65C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3F6C2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2552E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EB863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88113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0A52A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110C4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10201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r>
      <w:tr w14:paraId="05F23C43">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91DDC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二</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F655B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资金运用</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43245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5439.82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D54BA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5546.14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C36AA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5551.19</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DE881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5556.34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17BFE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5561.61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291FA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5566.97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0791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5676.85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21B03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5682.42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71C71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5688.11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EF44B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5693.92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B595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5699.84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10834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5813.41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88241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5819.57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DE3BA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25345.86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A3950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24872.27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987E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24398.80</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FECE7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24036.22</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4154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404224.37</w:t>
            </w:r>
          </w:p>
        </w:tc>
      </w:tr>
      <w:tr w14:paraId="367E45DE">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FE918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21FB4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项目投资</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B1A9B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C8799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EC905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69F2D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69DA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2A6D9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A87C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F8B6C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92BD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63A36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7FBCF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8246C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E0EB9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BA263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59E91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4F3B7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AA367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F7C646">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169953.93</w:t>
            </w:r>
          </w:p>
        </w:tc>
      </w:tr>
      <w:tr w14:paraId="786DE91A">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4B38B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1.1</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B302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建设投资</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3FF9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7059F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38D93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1BD1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EFF85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170B6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1D5A8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273E2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8CFE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9C104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2870D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CEEA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DC1F4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A90A3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F9998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8396B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3935E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4E54F">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163473.93</w:t>
            </w:r>
          </w:p>
        </w:tc>
      </w:tr>
      <w:tr w14:paraId="566B652F">
        <w:tblPrEx>
          <w:tblCellMar>
            <w:top w:w="0" w:type="dxa"/>
            <w:left w:w="108" w:type="dxa"/>
            <w:bottom w:w="0" w:type="dxa"/>
            <w:right w:w="108" w:type="dxa"/>
          </w:tblCellMar>
        </w:tblPrEx>
        <w:trPr>
          <w:trHeight w:val="603"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948FB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1.2</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5B4B4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建设期利息</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62F7A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C358A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2D8F4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DDA97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BB605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6C048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7ADB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CF9E5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FB5D0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2CD06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44BB3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D0049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4D61E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B2ED6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4B8C7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58CCE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AB18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399DE6">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6400.00</w:t>
            </w:r>
          </w:p>
        </w:tc>
      </w:tr>
      <w:tr w14:paraId="0FE473DE">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593D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1.3</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4874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发行费用</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576EC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42F33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7A1E5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EAA56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D84A4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A6EBF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B7894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1AFA4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00758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AA4A2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EBD99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84A4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1580D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FDBC0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22802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9A3EF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6D6BE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D27521">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80.00</w:t>
            </w:r>
          </w:p>
        </w:tc>
      </w:tr>
      <w:tr w14:paraId="676D1497">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3DCF4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2</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46E45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运营成本</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3956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1966.77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76A30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1991.64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58EF8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1998.37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E9D96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2005.24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46D3B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2012.26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35A26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2019.41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A4DBE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2045.51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942DF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2052.94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B5284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2060.53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D76F8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2068.27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DD92C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2076.17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50AA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2103.58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86762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2111.79</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6F3C3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2120.18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66BEF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2128.73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B9B22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2137.44</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F5951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2166.26</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659E0C">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61155.31</w:t>
            </w:r>
          </w:p>
        </w:tc>
      </w:tr>
      <w:tr w14:paraId="01F2628A">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BBC3B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2.1</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01BA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销售税费</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42674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374.51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8202A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385.74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ACF9D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385.74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F89A6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385.74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47FBD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385.74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96521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385.74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D6DE3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397.32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16E85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397.32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DC836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397.32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AA2E5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397.32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04EE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397.32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9F5CC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409.24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B6ABA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409.24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E4CD2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409.24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A06CE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409.24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7E91D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409.24</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ACC5B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421.52</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2A89B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11374.20</w:t>
            </w:r>
          </w:p>
        </w:tc>
      </w:tr>
      <w:tr w14:paraId="5AF2D66B">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B03E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2.2</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9272F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经营成本</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52473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1592.26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83447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1605.90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E5DB7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1612.63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20A54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1619.50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71F1E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1626.52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A2BF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1633.67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54B48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1648.19</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9DD80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1655.62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74BD7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1663.21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943D1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1670.95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F7902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1678.85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62EC2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1694.34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0AA44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1702.55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4C36C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1710.94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DDDF4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1719.49</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CBC47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1728.20</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3C037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1744.74</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5E7D20">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49781.11</w:t>
            </w:r>
          </w:p>
        </w:tc>
      </w:tr>
      <w:tr w14:paraId="4C3A4306">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189DA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3</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645D1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所得税</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54244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913.05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FFB6D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994.50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163F2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992.82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81AE7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991.10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0F936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989.35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97A84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987.56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F399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1071.34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F0CCC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1069.48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ED3C0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1067.58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2569F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1065.65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5EAE6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1063.67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565DF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1149.83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5ED84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1147.78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9C84B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1305.68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D628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1463.54</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D90E3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1621.36</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03FB0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1869.96</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C2E0E4">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22715.13</w:t>
            </w:r>
          </w:p>
        </w:tc>
      </w:tr>
      <w:tr w14:paraId="09E55FFD">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2A1FD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4</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151D3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偿还本金</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0F1FE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78EA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7625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C3C79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CCE9F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3850B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E62B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9DCA3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3819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70318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8418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67018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2934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C9C318">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20000.00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4E4C8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20000.00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DBBF73">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20000.00</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4C6CEE">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20000.00</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BAB3F">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80000.00</w:t>
            </w:r>
          </w:p>
        </w:tc>
      </w:tr>
      <w:tr w14:paraId="2FCA9568">
        <w:tblPrEx>
          <w:tblCellMar>
            <w:top w:w="0" w:type="dxa"/>
            <w:left w:w="108" w:type="dxa"/>
            <w:bottom w:w="0" w:type="dxa"/>
            <w:right w:w="108" w:type="dxa"/>
          </w:tblCellMar>
        </w:tblPrEx>
        <w:trPr>
          <w:trHeight w:val="307"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0270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ascii="Times New Roman" w:hAnsi="Times New Roman" w:eastAsia="宋体" w:cs="Times New Roman"/>
                <w:color w:val="000000"/>
                <w:kern w:val="0"/>
                <w:sz w:val="16"/>
                <w:szCs w:val="16"/>
                <w:lang w:bidi="ar"/>
              </w:rPr>
              <w:t>5</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071C2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支付利息</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CEE1D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BC17B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E7342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C99AF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4B79F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927FA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36EBE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03C68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497F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A7A86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F4CCB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5F4D8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2DBF8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2560.00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18B00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1920.00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6A3A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1280.00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625CE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640.00</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93966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FD26E9">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70400.00</w:t>
            </w:r>
          </w:p>
        </w:tc>
      </w:tr>
      <w:tr w14:paraId="36F1C8BC">
        <w:tblPrEx>
          <w:tblCellMar>
            <w:top w:w="0" w:type="dxa"/>
            <w:left w:w="108" w:type="dxa"/>
            <w:bottom w:w="0" w:type="dxa"/>
            <w:right w:w="108" w:type="dxa"/>
          </w:tblCellMar>
        </w:tblPrEx>
        <w:trPr>
          <w:trHeight w:val="603"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28BA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三</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453DF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盈余资金</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672FEF">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6249.52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A6996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6493.88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57B30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6488.83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7BC64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6483.68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721DD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6478.41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03DC4">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6473.05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7E4E9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6724.38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98B34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6718.81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231AF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6713.12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CD491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6707.31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7A0AB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6701.39</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FAE4F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6959.85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2F2F7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6953.69</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3C267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-12572.60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9BAAF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-12099.01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FAD7D8">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-11625.54</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37349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-10879.76</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94465">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120743.51</w:t>
            </w:r>
          </w:p>
        </w:tc>
      </w:tr>
      <w:tr w14:paraId="39012909">
        <w:tblPrEx>
          <w:tblCellMar>
            <w:top w:w="0" w:type="dxa"/>
            <w:left w:w="108" w:type="dxa"/>
            <w:bottom w:w="0" w:type="dxa"/>
            <w:right w:w="108" w:type="dxa"/>
          </w:tblCellMar>
        </w:tblPrEx>
        <w:trPr>
          <w:trHeight w:val="615" w:hRule="atLeast"/>
          <w:jc w:val="center"/>
        </w:trPr>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AE994E">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四</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3C2A56">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eastAsia" w:ascii="Times New Roman" w:hAnsi="Times New Roman" w:eastAsia="宋体" w:cs="Times New Roman"/>
                <w:color w:val="000000"/>
                <w:kern w:val="0"/>
                <w:sz w:val="16"/>
                <w:szCs w:val="16"/>
                <w:lang w:bidi="ar"/>
              </w:rPr>
              <w:t>累计盈余资金</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311FC0">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88024.02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9BE1E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94517.90</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6ADB2">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101006.73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2376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107490.41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04CEB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113968.82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7B7AA7">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120441.87</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1D44A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127166.25</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DF17A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133885.06</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9C285B">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140598.18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C5031A">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147305.49</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14C05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154006.88</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34615">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160966.73</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447F39">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167920.42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D1A79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155347.82</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18202D">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143248.81</w:t>
            </w:r>
          </w:p>
        </w:tc>
        <w:tc>
          <w:tcPr>
            <w:tcW w:w="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75F01">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r>
              <w:rPr>
                <w:rFonts w:hint="default" w:ascii="Times New Roman" w:hAnsi="Times New Roman" w:eastAsia="宋体" w:cs="Times New Roman"/>
                <w:color w:val="000000"/>
                <w:kern w:val="0"/>
                <w:sz w:val="16"/>
                <w:szCs w:val="16"/>
                <w:lang w:val="en-US" w:eastAsia="zh-CN" w:bidi="ar"/>
              </w:rPr>
              <w:t>131623.27</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24581E">
            <w:pPr>
              <w:widowControl/>
              <w:spacing w:line="240" w:lineRule="exact"/>
              <w:ind w:firstLine="0" w:firstLineChars="0"/>
              <w:jc w:val="center"/>
              <w:textAlignment w:val="center"/>
              <w:rPr>
                <w:rFonts w:hint="eastAsia" w:ascii="Times New Roman" w:hAnsi="Times New Roman" w:eastAsia="宋体" w:cs="Times New Roman"/>
                <w:color w:val="000000"/>
                <w:kern w:val="0"/>
                <w:sz w:val="16"/>
                <w:szCs w:val="16"/>
                <w:lang w:eastAsia="zh-CN" w:bidi="ar"/>
              </w:rPr>
            </w:pPr>
            <w:r>
              <w:rPr>
                <w:rFonts w:hint="default" w:ascii="Times New Roman" w:hAnsi="Times New Roman" w:eastAsia="宋体" w:cs="Times New Roman"/>
                <w:color w:val="000000"/>
                <w:kern w:val="0"/>
                <w:sz w:val="16"/>
                <w:szCs w:val="16"/>
                <w:lang w:val="en-US" w:eastAsia="zh-CN" w:bidi="ar"/>
              </w:rPr>
              <w:t>120743.51</w:t>
            </w:r>
          </w:p>
        </w:tc>
        <w:tc>
          <w:tcPr>
            <w:tcW w:w="9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555DEC">
            <w:pPr>
              <w:widowControl/>
              <w:spacing w:line="240" w:lineRule="exact"/>
              <w:ind w:firstLine="0" w:firstLineChars="0"/>
              <w:jc w:val="center"/>
              <w:textAlignment w:val="center"/>
              <w:rPr>
                <w:rFonts w:ascii="Times New Roman" w:hAnsi="Times New Roman" w:eastAsia="宋体" w:cs="Times New Roman"/>
                <w:color w:val="000000"/>
                <w:kern w:val="0"/>
                <w:sz w:val="16"/>
                <w:szCs w:val="16"/>
                <w:lang w:bidi="ar"/>
              </w:rPr>
            </w:pPr>
          </w:p>
        </w:tc>
      </w:tr>
    </w:tbl>
    <w:p w14:paraId="17970F6C">
      <w:pPr>
        <w:pStyle w:val="31"/>
        <w:ind w:firstLineChars="0"/>
        <w:rPr>
          <w:rStyle w:val="20"/>
          <w:rFonts w:eastAsia="等线"/>
        </w:rPr>
        <w:sectPr>
          <w:pgSz w:w="16838" w:h="11906"/>
          <w:pgMar w:top="1440" w:right="1803" w:bottom="1440" w:left="1803" w:header="851" w:footer="992" w:gutter="0"/>
          <w:cols w:space="425" w:num="1"/>
          <w:docGrid w:type="lines" w:linePitch="435" w:charSpace="0"/>
        </w:sectPr>
      </w:pPr>
    </w:p>
    <w:p w14:paraId="376D6CDB">
      <w:pPr>
        <w:pStyle w:val="31"/>
        <w:spacing w:line="560" w:lineRule="exact"/>
        <w:ind w:firstLine="640" w:firstLineChars="200"/>
        <w:rPr>
          <w:rStyle w:val="20"/>
          <w:rFonts w:ascii="黑体" w:hAnsi="黑体" w:eastAsia="黑体"/>
          <w:sz w:val="32"/>
          <w:szCs w:val="32"/>
        </w:rPr>
      </w:pPr>
      <w:r>
        <w:rPr>
          <w:rStyle w:val="20"/>
          <w:rFonts w:ascii="黑体" w:hAnsi="黑体" w:eastAsia="黑体"/>
          <w:sz w:val="32"/>
          <w:szCs w:val="32"/>
        </w:rPr>
        <w:t>五、项目绩效目标</w:t>
      </w:r>
    </w:p>
    <w:p w14:paraId="021F6565">
      <w:pPr>
        <w:spacing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（1）数量指标</w:t>
      </w:r>
      <w:r>
        <w:rPr>
          <w:rFonts w:hint="eastAsia" w:ascii="仿宋_GB2312" w:eastAsia="仿宋_GB2312"/>
          <w:sz w:val="32"/>
          <w:szCs w:val="32"/>
          <w:lang w:val="en-GB" w:eastAsia="zh-CN"/>
        </w:rPr>
        <w:t>：</w:t>
      </w:r>
      <w:r>
        <w:rPr>
          <w:rFonts w:hint="eastAsia" w:ascii="仿宋_GB2312" w:eastAsia="仿宋_GB2312"/>
          <w:sz w:val="32"/>
          <w:szCs w:val="32"/>
          <w:lang w:val="en-GB"/>
        </w:rPr>
        <w:t>新建水厂4座，改建水厂25座，供水服务中心1座，日供水规模19.86万立方米</w:t>
      </w:r>
      <w:r>
        <w:rPr>
          <w:rStyle w:val="20"/>
          <w:rFonts w:ascii="仿宋_GB2312" w:hAnsi="Calibri" w:eastAsia="仿宋_GB2312"/>
          <w:sz w:val="32"/>
          <w:szCs w:val="32"/>
        </w:rPr>
        <w:t>。</w:t>
      </w:r>
    </w:p>
    <w:p w14:paraId="662F47D0">
      <w:pPr>
        <w:spacing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（2）时效指标：预计项目在202</w:t>
      </w:r>
      <w:r>
        <w:rPr>
          <w:rFonts w:hint="eastAsia" w:ascii="仿宋_GB2312" w:eastAsia="仿宋_GB2312"/>
          <w:sz w:val="32"/>
          <w:szCs w:val="32"/>
          <w:lang w:val="en-US" w:eastAsia="zh-CN"/>
        </w:rPr>
        <w:t>8</w:t>
      </w:r>
      <w:r>
        <w:rPr>
          <w:rFonts w:hint="eastAsia" w:ascii="仿宋_GB2312" w:eastAsia="仿宋_GB2312"/>
          <w:sz w:val="32"/>
          <w:szCs w:val="32"/>
          <w:lang w:val="en-GB"/>
        </w:rPr>
        <w:t>年完工，具体完工时间按工程进度确定。</w:t>
      </w:r>
    </w:p>
    <w:p w14:paraId="19D1F7F1">
      <w:pPr>
        <w:spacing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（3）成本指标：项目总投资</w:t>
      </w:r>
      <w:r>
        <w:rPr>
          <w:rStyle w:val="20"/>
          <w:rFonts w:hint="eastAsia" w:ascii="仿宋_GB2312" w:hAnsi="Calibri" w:eastAsia="仿宋_GB2312"/>
          <w:sz w:val="32"/>
          <w:szCs w:val="32"/>
          <w:lang w:eastAsia="zh-CN"/>
        </w:rPr>
        <w:t>169953.93</w:t>
      </w:r>
      <w:r>
        <w:rPr>
          <w:rFonts w:hint="eastAsia" w:ascii="仿宋_GB2312" w:eastAsia="仿宋_GB2312"/>
          <w:sz w:val="32"/>
          <w:szCs w:val="32"/>
          <w:lang w:val="en-GB"/>
        </w:rPr>
        <w:t>万元。</w:t>
      </w:r>
    </w:p>
    <w:p w14:paraId="7C67A317">
      <w:pPr>
        <w:spacing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（4）经济效益指标:运营总收入为</w:t>
      </w:r>
      <w:r>
        <w:rPr>
          <w:rFonts w:hint="eastAsia" w:ascii="仿宋_GB2312" w:hAnsi="仿宋_GB2312" w:eastAsia="仿宋_GB2312"/>
          <w:color w:val="000000"/>
          <w:sz w:val="32"/>
          <w:szCs w:val="32"/>
          <w:lang w:eastAsia="zh-CN"/>
        </w:rPr>
        <w:t>355013.95</w:t>
      </w:r>
      <w:r>
        <w:rPr>
          <w:rFonts w:hint="eastAsia" w:ascii="仿宋_GB2312" w:eastAsia="仿宋_GB2312"/>
          <w:sz w:val="32"/>
          <w:szCs w:val="32"/>
          <w:lang w:val="en-GB"/>
        </w:rPr>
        <w:t>万元。</w:t>
      </w:r>
    </w:p>
    <w:p w14:paraId="40F2D577">
      <w:pPr>
        <w:spacing w:after="120" w:line="560" w:lineRule="exact"/>
        <w:ind w:firstLine="640" w:firstLineChars="200"/>
        <w:rPr>
          <w:rStyle w:val="20"/>
          <w:rFonts w:hint="eastAsia" w:ascii="仿宋_GB2312" w:eastAsia="仿宋_GB2312"/>
          <w:color w:val="000000"/>
          <w:sz w:val="32"/>
          <w:szCs w:val="32"/>
        </w:rPr>
      </w:pPr>
      <w:r>
        <w:rPr>
          <w:rFonts w:hint="eastAsia" w:ascii="仿宋_GB2312" w:eastAsia="仿宋_GB2312"/>
          <w:sz w:val="32"/>
          <w:szCs w:val="32"/>
          <w:lang w:val="en-GB"/>
        </w:rPr>
        <w:t>（5）社会效益指标：</w:t>
      </w:r>
      <w:r>
        <w:rPr>
          <w:rStyle w:val="20"/>
          <w:rFonts w:hint="eastAsia" w:ascii="仿宋_GB2312" w:eastAsia="仿宋_GB2312"/>
          <w:color w:val="000000"/>
          <w:sz w:val="32"/>
          <w:szCs w:val="32"/>
        </w:rPr>
        <w:t>水厂建设的核心目标是确保供水安全，为居民提供稳定、可靠的饮用水。公益性体现在为公众提供安全饮用水，满足基本生活需求，保障社会大众的生命安全和身体健康。</w:t>
      </w:r>
    </w:p>
    <w:p w14:paraId="2A614E56">
      <w:pPr>
        <w:spacing w:after="120" w:line="560" w:lineRule="exact"/>
        <w:ind w:firstLine="640" w:firstLineChars="200"/>
        <w:rPr>
          <w:rStyle w:val="20"/>
          <w:rFonts w:hint="eastAsia" w:ascii="仿宋_GB2312" w:eastAsia="仿宋_GB2312"/>
          <w:color w:val="000000"/>
          <w:sz w:val="32"/>
          <w:szCs w:val="32"/>
        </w:rPr>
      </w:pPr>
      <w:r>
        <w:rPr>
          <w:rStyle w:val="20"/>
          <w:rFonts w:hint="eastAsia" w:ascii="仿宋_GB2312" w:eastAsia="仿宋_GB2312"/>
          <w:color w:val="000000"/>
          <w:sz w:val="32"/>
          <w:szCs w:val="32"/>
        </w:rPr>
        <w:t>水质的改善直接关系到居民的生活质量。公益性在于通过水厂建设，提升水质标准，减少因水质问题导致的健康风险，使居民能够享受更加清洁、健康的生活。</w:t>
      </w:r>
    </w:p>
    <w:p w14:paraId="54ACFAE8">
      <w:pPr>
        <w:spacing w:after="120" w:line="560" w:lineRule="exact"/>
        <w:ind w:firstLine="640" w:firstLineChars="200"/>
        <w:rPr>
          <w:rFonts w:hint="eastAsia" w:ascii="仿宋_GB2312" w:eastAsia="仿宋_GB2312"/>
          <w:sz w:val="32"/>
          <w:szCs w:val="32"/>
          <w:lang w:val="en-GB" w:eastAsia="zh-CN"/>
        </w:rPr>
      </w:pPr>
      <w:r>
        <w:rPr>
          <w:rStyle w:val="20"/>
          <w:rFonts w:hint="eastAsia" w:ascii="仿宋_GB2312" w:eastAsia="仿宋_GB2312"/>
          <w:color w:val="000000"/>
          <w:sz w:val="32"/>
          <w:szCs w:val="32"/>
        </w:rPr>
        <w:t>水厂建设是政府和社会对公众生活品质负责的具体表现。通过水厂建设，政府和社会承担起了为公众提供安全、健康饮用水的社会责任，体现了对公众利益的关注和重视</w:t>
      </w:r>
      <w:r>
        <w:rPr>
          <w:rStyle w:val="20"/>
          <w:rFonts w:hint="eastAsia" w:ascii="仿宋_GB2312" w:eastAsia="仿宋_GB2312"/>
          <w:color w:val="000000"/>
          <w:sz w:val="32"/>
          <w:szCs w:val="32"/>
          <w:lang w:eastAsia="zh-CN"/>
        </w:rPr>
        <w:t>。</w:t>
      </w:r>
    </w:p>
    <w:p w14:paraId="13493328">
      <w:pPr>
        <w:spacing w:after="120" w:line="560" w:lineRule="exact"/>
        <w:ind w:firstLine="640" w:firstLineChars="200"/>
        <w:rPr>
          <w:rStyle w:val="20"/>
          <w:rFonts w:ascii="黑体" w:hAnsi="黑体" w:eastAsia="黑体"/>
          <w:sz w:val="32"/>
          <w:szCs w:val="32"/>
        </w:rPr>
      </w:pPr>
      <w:r>
        <w:rPr>
          <w:rStyle w:val="20"/>
          <w:rFonts w:ascii="黑体" w:hAnsi="黑体" w:eastAsia="黑体"/>
          <w:sz w:val="32"/>
          <w:szCs w:val="32"/>
        </w:rPr>
        <w:t>六、潜在影响项目的风险评估</w:t>
      </w:r>
    </w:p>
    <w:p w14:paraId="2304ED56">
      <w:pPr>
        <w:spacing w:line="560" w:lineRule="exact"/>
        <w:ind w:firstLine="640" w:firstLineChars="200"/>
        <w:rPr>
          <w:rStyle w:val="20"/>
          <w:rFonts w:ascii="仿宋_GB2312" w:hAnsi="Calibri" w:eastAsia="仿宋_GB2312"/>
          <w:sz w:val="32"/>
          <w:szCs w:val="32"/>
        </w:rPr>
      </w:pPr>
      <w:r>
        <w:rPr>
          <w:rStyle w:val="20"/>
          <w:rFonts w:ascii="仿宋_GB2312" w:hAnsi="Calibri" w:eastAsia="仿宋_GB2312"/>
          <w:sz w:val="32"/>
          <w:szCs w:val="32"/>
        </w:rPr>
        <w:t>（1）影响项目施工进度或正常运营的风险因素主要包括工期延长、工程事故发生等。针对以上风险，一是全面统筹安排，确保本项目前期运作顺利进行；二是选择优质施工队伍、做好事前预防工作及质量安全检查。</w:t>
      </w:r>
    </w:p>
    <w:p w14:paraId="01A44CB7">
      <w:pPr>
        <w:spacing w:line="560" w:lineRule="exact"/>
        <w:ind w:firstLine="640" w:firstLineChars="200"/>
        <w:rPr>
          <w:rStyle w:val="20"/>
          <w:rFonts w:ascii="仿宋_GB2312" w:hAnsi="Calibri" w:eastAsia="仿宋_GB2312"/>
          <w:sz w:val="32"/>
          <w:szCs w:val="32"/>
        </w:rPr>
      </w:pPr>
      <w:r>
        <w:rPr>
          <w:rStyle w:val="20"/>
          <w:rFonts w:ascii="仿宋_GB2312" w:hAnsi="Calibri" w:eastAsia="仿宋_GB2312"/>
          <w:sz w:val="32"/>
          <w:szCs w:val="32"/>
        </w:rPr>
        <w:t>（2）影响项目收益的风险主要是市场环境的不确定性带来风险。本项目预测价格参考了周边类似项目市场价格，预测单价较为保守，未来成交价格有保证。</w:t>
      </w:r>
    </w:p>
    <w:p w14:paraId="50F88405">
      <w:pPr>
        <w:spacing w:line="560" w:lineRule="exact"/>
        <w:ind w:firstLine="640" w:firstLineChars="200"/>
        <w:rPr>
          <w:rStyle w:val="20"/>
          <w:rFonts w:ascii="仿宋_GB2312" w:hAnsi="Calibri" w:eastAsia="仿宋_GB2312"/>
          <w:sz w:val="32"/>
          <w:szCs w:val="32"/>
        </w:rPr>
      </w:pPr>
      <w:r>
        <w:rPr>
          <w:rStyle w:val="20"/>
          <w:rFonts w:ascii="仿宋_GB2312" w:hAnsi="Calibri" w:eastAsia="仿宋_GB2312"/>
          <w:sz w:val="32"/>
          <w:szCs w:val="32"/>
        </w:rPr>
        <w:t>（3）影响融资平衡结果的风险主要是投资测算不准及利率波动风险。本项目实施方案经过大量分析论证工作后认为，投资分析结果较为可靠。同时，项目前期应做好债券期限配比，发债后做好还款计划和准备，尽量减少利率波动损失。</w:t>
      </w:r>
    </w:p>
    <w:p w14:paraId="073D5993">
      <w:pPr>
        <w:spacing w:after="120" w:line="560" w:lineRule="exact"/>
        <w:ind w:firstLine="640" w:firstLineChars="200"/>
        <w:rPr>
          <w:rStyle w:val="20"/>
          <w:rFonts w:ascii="仿宋_GB2312" w:eastAsia="仿宋_GB2312"/>
          <w:sz w:val="32"/>
          <w:szCs w:val="32"/>
        </w:rPr>
      </w:pPr>
      <w:r>
        <w:rPr>
          <w:rStyle w:val="20"/>
          <w:rFonts w:ascii="黑体" w:hAnsi="黑体" w:eastAsia="黑体"/>
          <w:sz w:val="32"/>
          <w:szCs w:val="32"/>
        </w:rPr>
        <w:t>七、还款保障情况</w:t>
      </w:r>
    </w:p>
    <w:p w14:paraId="4C22B85B">
      <w:pPr>
        <w:spacing w:line="560" w:lineRule="exact"/>
        <w:ind w:firstLine="640" w:firstLineChars="200"/>
        <w:rPr>
          <w:rStyle w:val="20"/>
          <w:rFonts w:ascii="仿宋_GB2312" w:hAnsi="Calibri" w:eastAsia="仿宋_GB2312"/>
          <w:sz w:val="32"/>
          <w:szCs w:val="32"/>
        </w:rPr>
      </w:pPr>
      <w:r>
        <w:rPr>
          <w:rStyle w:val="20"/>
          <w:rFonts w:ascii="仿宋_GB2312" w:hAnsi="Calibri" w:eastAsia="仿宋_GB2312"/>
          <w:sz w:val="32"/>
          <w:szCs w:val="32"/>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755C558D">
      <w:pPr>
        <w:spacing w:after="120" w:line="560" w:lineRule="exact"/>
        <w:ind w:firstLine="640" w:firstLineChars="200"/>
        <w:rPr>
          <w:rStyle w:val="20"/>
          <w:rFonts w:ascii="黑体" w:hAnsi="黑体" w:eastAsia="黑体"/>
          <w:sz w:val="32"/>
          <w:szCs w:val="32"/>
        </w:rPr>
      </w:pPr>
      <w:r>
        <w:rPr>
          <w:rStyle w:val="20"/>
          <w:rFonts w:ascii="黑体" w:hAnsi="黑体" w:eastAsia="黑体"/>
          <w:sz w:val="32"/>
          <w:szCs w:val="32"/>
        </w:rPr>
        <w:t>八、</w:t>
      </w:r>
      <w:r>
        <w:rPr>
          <w:rFonts w:hint="eastAsia" w:ascii="黑体" w:hAnsi="黑体" w:eastAsia="黑体"/>
          <w:sz w:val="32"/>
          <w:szCs w:val="32"/>
        </w:rPr>
        <w:t>主管部门和项目单位职责</w:t>
      </w:r>
    </w:p>
    <w:p w14:paraId="1355EB22">
      <w:pPr>
        <w:spacing w:line="560" w:lineRule="exact"/>
        <w:ind w:firstLine="640" w:firstLineChars="200"/>
        <w:rPr>
          <w:rStyle w:val="20"/>
          <w:rFonts w:ascii="仿宋_GB2312" w:hAnsi="Calibri" w:eastAsia="仿宋_GB2312"/>
          <w:sz w:val="32"/>
          <w:szCs w:val="32"/>
        </w:rPr>
      </w:pPr>
      <w:r>
        <w:rPr>
          <w:rStyle w:val="20"/>
          <w:rFonts w:hint="eastAsia" w:ascii="仿宋_GB2312" w:hAnsi="Calibri" w:eastAsia="仿宋_GB2312"/>
          <w:sz w:val="32"/>
          <w:szCs w:val="32"/>
        </w:rPr>
        <w:t>1.主管部门及职责</w:t>
      </w:r>
    </w:p>
    <w:p w14:paraId="6DCC9846">
      <w:pPr>
        <w:spacing w:line="560" w:lineRule="exact"/>
        <w:ind w:firstLine="640" w:firstLineChars="200"/>
        <w:rPr>
          <w:rStyle w:val="20"/>
          <w:rFonts w:ascii="仿宋_GB2312" w:hAnsi="Calibri" w:eastAsia="仿宋_GB2312"/>
          <w:sz w:val="32"/>
          <w:szCs w:val="32"/>
        </w:rPr>
      </w:pPr>
      <w:r>
        <w:rPr>
          <w:rStyle w:val="20"/>
          <w:rFonts w:hint="eastAsia" w:ascii="仿宋_GB2312" w:hAnsi="Calibri" w:eastAsia="仿宋_GB2312"/>
          <w:sz w:val="32"/>
          <w:szCs w:val="32"/>
        </w:rPr>
        <w:t>本项目</w:t>
      </w:r>
      <w:r>
        <w:rPr>
          <w:rStyle w:val="20"/>
          <w:rFonts w:hint="eastAsia" w:ascii="仿宋_GB2312" w:hAnsi="Calibri" w:eastAsia="仿宋_GB2312"/>
          <w:sz w:val="32"/>
          <w:szCs w:val="32"/>
          <w:lang w:val="en-US" w:eastAsia="zh-CN"/>
        </w:rPr>
        <w:t>主管单位</w:t>
      </w:r>
      <w:r>
        <w:rPr>
          <w:rStyle w:val="20"/>
          <w:rFonts w:hint="eastAsia" w:ascii="仿宋_GB2312" w:hAnsi="Calibri" w:eastAsia="仿宋_GB2312"/>
          <w:sz w:val="32"/>
          <w:szCs w:val="32"/>
        </w:rPr>
        <w:t>是</w:t>
      </w:r>
      <w:r>
        <w:rPr>
          <w:rStyle w:val="20"/>
          <w:rFonts w:hint="eastAsia" w:ascii="仿宋_GB2312" w:hAnsi="Calibri" w:eastAsia="仿宋_GB2312"/>
          <w:sz w:val="32"/>
          <w:szCs w:val="32"/>
          <w:lang w:eastAsia="zh-CN"/>
        </w:rPr>
        <w:t>宣汉县水务局，</w:t>
      </w:r>
      <w:r>
        <w:rPr>
          <w:rStyle w:val="20"/>
          <w:rFonts w:ascii="仿宋_GB2312" w:hAnsi="Calibri" w:eastAsia="仿宋_GB2312"/>
          <w:sz w:val="32"/>
          <w:szCs w:val="32"/>
        </w:rPr>
        <w:t>主管部门将会配合做好本地区项目收益专项债券发行准备工作，及时准确提供相关资料，配合做好信息披露、信用评级、资产评估等工作。项目运行过程中，主管部门将主动披露项目施工期间的施工进度、项目收益专项债券资金使用情况、项目运营期间的收支情况等信息。在债券资金管理方面，行业主管部门将会履行项目建设运营管理责任，加强成本控制，确保项目形成的专项收入应收尽收，并按照规定及时足额上交。年终时，行业主管部门配合财政部门编制项目收益债券收支决算，在政府性基金预算报告中全面、准确反映项目收益专项债券收入、支出、还本付息、发行费用、取得的收入等情况。债券对应资产管理方面，主管部门将会协同财政部门将各类项目收益专项债券对应项目形成的资产纳入国有资产管理，建立相应的资产登记和统计报告制度，加强资产日常统计和动态监控。</w:t>
      </w:r>
    </w:p>
    <w:p w14:paraId="5F5BE894">
      <w:pPr>
        <w:spacing w:line="560" w:lineRule="exact"/>
        <w:ind w:firstLine="640" w:firstLineChars="200"/>
        <w:rPr>
          <w:rStyle w:val="20"/>
          <w:rFonts w:ascii="仿宋_GB2312" w:hAnsi="Calibri" w:eastAsia="仿宋_GB2312"/>
          <w:sz w:val="32"/>
          <w:szCs w:val="32"/>
        </w:rPr>
      </w:pPr>
      <w:r>
        <w:rPr>
          <w:rStyle w:val="20"/>
          <w:rFonts w:hint="eastAsia" w:ascii="仿宋_GB2312" w:hAnsi="Calibri" w:eastAsia="仿宋_GB2312"/>
          <w:sz w:val="32"/>
          <w:szCs w:val="32"/>
        </w:rPr>
        <w:t>2.项目业主及职责</w:t>
      </w:r>
    </w:p>
    <w:p w14:paraId="71128301">
      <w:pPr>
        <w:spacing w:line="560" w:lineRule="exact"/>
        <w:ind w:firstLine="640" w:firstLineChars="200"/>
        <w:rPr>
          <w:rStyle w:val="20"/>
          <w:rFonts w:ascii="仿宋_GB2312" w:hAnsi="Calibri" w:eastAsia="仿宋_GB2312"/>
          <w:sz w:val="32"/>
          <w:szCs w:val="32"/>
        </w:rPr>
      </w:pPr>
      <w:r>
        <w:rPr>
          <w:rStyle w:val="20"/>
          <w:rFonts w:hint="eastAsia" w:ascii="仿宋_GB2312" w:hAnsi="Calibri" w:eastAsia="仿宋_GB2312"/>
          <w:sz w:val="32"/>
          <w:szCs w:val="32"/>
        </w:rPr>
        <w:t>本项目业主是</w:t>
      </w:r>
      <w:r>
        <w:rPr>
          <w:rStyle w:val="20"/>
          <w:rFonts w:hint="eastAsia" w:ascii="仿宋_GB2312" w:hAnsi="Calibri" w:eastAsia="仿宋_GB2312"/>
          <w:sz w:val="32"/>
          <w:szCs w:val="32"/>
          <w:lang w:eastAsia="zh-CN"/>
        </w:rPr>
        <w:t>四川汉润水务集团有限公司</w:t>
      </w:r>
      <w:r>
        <w:rPr>
          <w:rStyle w:val="20"/>
          <w:rFonts w:hint="eastAsia" w:ascii="仿宋_GB2312" w:hAnsi="Calibri" w:eastAsia="仿宋_GB2312"/>
          <w:sz w:val="32"/>
          <w:szCs w:val="32"/>
        </w:rPr>
        <w:t>。其职责为提出专项债券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14:paraId="03B97785">
      <w:pPr>
        <w:spacing w:after="120" w:line="560" w:lineRule="exact"/>
        <w:ind w:firstLine="640" w:firstLineChars="200"/>
        <w:jc w:val="left"/>
        <w:rPr>
          <w:rStyle w:val="20"/>
          <w:rFonts w:ascii="方正小标宋简体" w:eastAsia="方正小标宋简体"/>
          <w:sz w:val="44"/>
          <w:szCs w:val="44"/>
        </w:rPr>
      </w:pPr>
      <w:r>
        <w:rPr>
          <w:rStyle w:val="20"/>
          <w:rFonts w:ascii="黑体" w:hAnsi="黑体" w:eastAsia="黑体"/>
          <w:sz w:val="32"/>
          <w:szCs w:val="32"/>
        </w:rPr>
        <w:t>九、补充说明</w:t>
      </w:r>
    </w:p>
    <w:p w14:paraId="41F6461E">
      <w:pPr>
        <w:spacing w:after="120" w:line="560" w:lineRule="exact"/>
        <w:ind w:firstLine="632" w:firstLineChars="200"/>
        <w:rPr>
          <w:rStyle w:val="20"/>
          <w:rFonts w:hint="default" w:ascii="仿宋_GB2312" w:hAnsi="仿宋_GB2312" w:eastAsia="仿宋_GB2312"/>
          <w:w w:val="99"/>
          <w:sz w:val="32"/>
          <w:szCs w:val="32"/>
          <w:highlight w:val="none"/>
          <w:lang w:val="en-US" w:eastAsia="zh-CN"/>
        </w:rPr>
      </w:pPr>
      <w:r>
        <w:rPr>
          <w:rStyle w:val="20"/>
          <w:rFonts w:hint="eastAsia" w:ascii="仿宋_GB2312" w:hAnsi="仿宋_GB2312" w:eastAsia="仿宋_GB2312"/>
          <w:w w:val="99"/>
          <w:sz w:val="32"/>
          <w:szCs w:val="32"/>
          <w:highlight w:val="none"/>
        </w:rPr>
        <w:t>此项目债券资金总需求</w:t>
      </w:r>
      <w:r>
        <w:rPr>
          <w:rStyle w:val="20"/>
          <w:rFonts w:hint="eastAsia" w:ascii="仿宋_GB2312" w:hAnsi="仿宋_GB2312" w:eastAsia="仿宋_GB2312"/>
          <w:w w:val="99"/>
          <w:sz w:val="32"/>
          <w:szCs w:val="32"/>
          <w:highlight w:val="none"/>
          <w:lang w:val="en-US" w:eastAsia="zh-CN"/>
        </w:rPr>
        <w:t>80000.00</w:t>
      </w:r>
      <w:r>
        <w:rPr>
          <w:rStyle w:val="20"/>
          <w:rFonts w:hint="eastAsia" w:ascii="仿宋_GB2312" w:hAnsi="仿宋_GB2312" w:eastAsia="仿宋_GB2312"/>
          <w:w w:val="99"/>
          <w:sz w:val="32"/>
          <w:szCs w:val="32"/>
          <w:highlight w:val="none"/>
        </w:rPr>
        <w:t>万元，</w:t>
      </w:r>
      <w:r>
        <w:rPr>
          <w:rStyle w:val="20"/>
          <w:rFonts w:hint="eastAsia" w:ascii="仿宋_GB2312" w:hAnsi="仿宋_GB2312" w:eastAsia="仿宋_GB2312"/>
          <w:w w:val="99"/>
          <w:sz w:val="32"/>
          <w:szCs w:val="32"/>
          <w:highlight w:val="none"/>
          <w:lang w:eastAsia="zh-CN"/>
        </w:rPr>
        <w:t>根据地方政府债务限额管理要求和项目实施进展情况,2025年已发行</w:t>
      </w:r>
      <w:r>
        <w:rPr>
          <w:rStyle w:val="20"/>
          <w:rFonts w:hint="eastAsia" w:ascii="仿宋_GB2312" w:hAnsi="仿宋_GB2312" w:eastAsia="仿宋_GB2312"/>
          <w:w w:val="99"/>
          <w:sz w:val="32"/>
          <w:szCs w:val="32"/>
          <w:highlight w:val="none"/>
          <w:lang w:val="en-US" w:eastAsia="zh-CN"/>
        </w:rPr>
        <w:t>40710.00</w:t>
      </w:r>
      <w:r>
        <w:rPr>
          <w:rStyle w:val="20"/>
          <w:rFonts w:hint="eastAsia" w:ascii="仿宋_GB2312" w:hAnsi="仿宋_GB2312" w:eastAsia="仿宋_GB2312"/>
          <w:w w:val="99"/>
          <w:sz w:val="32"/>
          <w:szCs w:val="32"/>
          <w:highlight w:val="none"/>
          <w:lang w:eastAsia="zh-CN"/>
        </w:rPr>
        <w:t>万元，本次拟继续发行</w:t>
      </w:r>
      <w:r>
        <w:rPr>
          <w:rStyle w:val="20"/>
          <w:rFonts w:hint="eastAsia" w:ascii="仿宋_GB2312" w:hAnsi="仿宋_GB2312" w:eastAsia="仿宋_GB2312"/>
          <w:w w:val="99"/>
          <w:sz w:val="32"/>
          <w:szCs w:val="32"/>
          <w:highlight w:val="none"/>
          <w:lang w:val="en-US" w:eastAsia="zh-CN"/>
        </w:rPr>
        <w:t>13200.00</w:t>
      </w:r>
      <w:r>
        <w:rPr>
          <w:rStyle w:val="20"/>
          <w:rFonts w:hint="eastAsia" w:ascii="仿宋_GB2312" w:hAnsi="仿宋_GB2312" w:eastAsia="仿宋_GB2312"/>
          <w:w w:val="99"/>
          <w:sz w:val="32"/>
          <w:szCs w:val="32"/>
          <w:highlight w:val="none"/>
          <w:lang w:eastAsia="zh-CN"/>
        </w:rPr>
        <w:t>万元</w:t>
      </w:r>
      <w:bookmarkStart w:id="1" w:name="_GoBack"/>
      <w:bookmarkEnd w:id="1"/>
      <w:r>
        <w:rPr>
          <w:rStyle w:val="20"/>
          <w:rFonts w:hint="eastAsia" w:ascii="仿宋_GB2312" w:hAnsi="仿宋_GB2312" w:eastAsia="仿宋_GB2312"/>
          <w:w w:val="99"/>
          <w:sz w:val="32"/>
          <w:szCs w:val="32"/>
          <w:highlight w:val="none"/>
          <w:lang w:eastAsia="zh-CN"/>
        </w:rPr>
        <w:t>，期限</w:t>
      </w:r>
      <w:r>
        <w:rPr>
          <w:rStyle w:val="20"/>
          <w:rFonts w:hint="eastAsia" w:ascii="仿宋_GB2312" w:hAnsi="仿宋_GB2312" w:eastAsia="仿宋_GB2312"/>
          <w:w w:val="99"/>
          <w:sz w:val="32"/>
          <w:szCs w:val="32"/>
          <w:highlight w:val="none"/>
          <w:lang w:val="en-US" w:eastAsia="zh-CN"/>
        </w:rPr>
        <w:t>30</w:t>
      </w:r>
      <w:r>
        <w:rPr>
          <w:rStyle w:val="20"/>
          <w:rFonts w:hint="eastAsia" w:ascii="仿宋_GB2312" w:hAnsi="仿宋_GB2312" w:eastAsia="仿宋_GB2312"/>
          <w:w w:val="99"/>
          <w:sz w:val="32"/>
          <w:szCs w:val="32"/>
          <w:highlight w:val="none"/>
          <w:lang w:eastAsia="zh-CN"/>
        </w:rPr>
        <w:t>年。该项目实施内容及收益来源未发生变动，在不超过项目债券总需求情况下，债券分批次跨年发行对项目整体融资平衡不构成实质影响。</w:t>
      </w:r>
    </w:p>
    <w:sectPr>
      <w:pgSz w:w="11906" w:h="16838"/>
      <w:pgMar w:top="2098" w:right="1418" w:bottom="1588" w:left="1644"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方正小标宋简体">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3677A">
    <w:pPr>
      <w:pStyle w:val="7"/>
      <w:jc w:val="center"/>
      <w:rPr>
        <w:rStyle w:val="20"/>
        <w:sz w:val="24"/>
        <w:szCs w:val="24"/>
      </w:rPr>
    </w:pPr>
    <w:r>
      <w:rPr>
        <w:sz w:val="24"/>
      </w:rPr>
      <w:pict>
        <v:shape id="_x0000_s4099" o:spid="_x0000_s409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230FA11">
                <w:pPr>
                  <w:pStyle w:val="7"/>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8905E">
    <w:pPr>
      <w:pStyle w:val="7"/>
      <w:jc w:val="center"/>
      <w:rPr>
        <w:rStyle w:val="20"/>
        <w:sz w:val="24"/>
        <w:szCs w:val="24"/>
      </w:rPr>
    </w:pPr>
    <w:r>
      <w:rPr>
        <w:sz w:val="24"/>
      </w:rP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038C0A37">
                <w:pPr>
                  <w:pStyle w:val="7"/>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6189A">
    <w:pPr>
      <w:pStyle w:val="8"/>
      <w:ind w:firstLine="360"/>
      <w:rPr>
        <w:rStyle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C23BF">
    <w:pPr>
      <w:pStyle w:val="8"/>
      <w:ind w:firstLine="360"/>
      <w:rPr>
        <w:rStyle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isplayHorizontalDrawingGridEvery w:val="0"/>
  <w:doNotUseMarginsForDrawingGridOrigin w:val="1"/>
  <w:drawingGridHorizontalOrigin w:val="1800"/>
  <w:drawingGridVerticalOrigin w:val="1440"/>
  <w:noPunctuationKerning w:val="1"/>
  <w:characterSpacingControl w:val="doNotCompress"/>
  <w:hdrShapeDefaults>
    <o:shapelayout v:ext="edit">
      <o:idmap v:ext="edit" data="3,4"/>
    </o:shapelayout>
  </w:hdrShapeDefault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MTA5NWUxMDYwNDg2YzhiMmE5MWVhZTA5NWYxZjhiZTAifQ=="/>
  </w:docVars>
  <w:rsids>
    <w:rsidRoot w:val="00CE2334"/>
    <w:rsid w:val="001C0E47"/>
    <w:rsid w:val="002D7DD5"/>
    <w:rsid w:val="003231C1"/>
    <w:rsid w:val="00397B65"/>
    <w:rsid w:val="00430652"/>
    <w:rsid w:val="00430806"/>
    <w:rsid w:val="00603805"/>
    <w:rsid w:val="00723ED8"/>
    <w:rsid w:val="00843181"/>
    <w:rsid w:val="00A76D0B"/>
    <w:rsid w:val="00B73BA4"/>
    <w:rsid w:val="00C24DD5"/>
    <w:rsid w:val="00C35226"/>
    <w:rsid w:val="00CE2334"/>
    <w:rsid w:val="00E67CEA"/>
    <w:rsid w:val="00F81B30"/>
    <w:rsid w:val="03AB04F5"/>
    <w:rsid w:val="05627F81"/>
    <w:rsid w:val="0BDC6F5D"/>
    <w:rsid w:val="0D702AF1"/>
    <w:rsid w:val="0D7D4536"/>
    <w:rsid w:val="0E8F4521"/>
    <w:rsid w:val="11567578"/>
    <w:rsid w:val="130D2F68"/>
    <w:rsid w:val="133F4ED9"/>
    <w:rsid w:val="15C745A0"/>
    <w:rsid w:val="17771235"/>
    <w:rsid w:val="18731A39"/>
    <w:rsid w:val="19E51057"/>
    <w:rsid w:val="1A310B82"/>
    <w:rsid w:val="1ADE070A"/>
    <w:rsid w:val="1BF807B0"/>
    <w:rsid w:val="1E2F53D8"/>
    <w:rsid w:val="1EED5FD2"/>
    <w:rsid w:val="20256A93"/>
    <w:rsid w:val="23917957"/>
    <w:rsid w:val="241024A6"/>
    <w:rsid w:val="2428786F"/>
    <w:rsid w:val="24F32A89"/>
    <w:rsid w:val="25F90511"/>
    <w:rsid w:val="27E320BD"/>
    <w:rsid w:val="29757674"/>
    <w:rsid w:val="297F5159"/>
    <w:rsid w:val="2A9211C9"/>
    <w:rsid w:val="2B104E04"/>
    <w:rsid w:val="2BD80E5D"/>
    <w:rsid w:val="2F1039E0"/>
    <w:rsid w:val="2FA42E5F"/>
    <w:rsid w:val="300F517B"/>
    <w:rsid w:val="33D20888"/>
    <w:rsid w:val="33E54DAC"/>
    <w:rsid w:val="3447392B"/>
    <w:rsid w:val="352B64A2"/>
    <w:rsid w:val="35E36D7D"/>
    <w:rsid w:val="397130A1"/>
    <w:rsid w:val="3B037579"/>
    <w:rsid w:val="3B9C7128"/>
    <w:rsid w:val="3F161F71"/>
    <w:rsid w:val="3F665099"/>
    <w:rsid w:val="40330901"/>
    <w:rsid w:val="422D2A50"/>
    <w:rsid w:val="42350597"/>
    <w:rsid w:val="42ED51B2"/>
    <w:rsid w:val="446C2DC0"/>
    <w:rsid w:val="454A3CB3"/>
    <w:rsid w:val="45BD4ED7"/>
    <w:rsid w:val="49541D27"/>
    <w:rsid w:val="4CE731C8"/>
    <w:rsid w:val="4E320449"/>
    <w:rsid w:val="4F75620E"/>
    <w:rsid w:val="500465BE"/>
    <w:rsid w:val="507242BC"/>
    <w:rsid w:val="5181771E"/>
    <w:rsid w:val="54921C42"/>
    <w:rsid w:val="54AA546C"/>
    <w:rsid w:val="55222FC6"/>
    <w:rsid w:val="57E63F62"/>
    <w:rsid w:val="580E0679"/>
    <w:rsid w:val="58922102"/>
    <w:rsid w:val="5AAB388F"/>
    <w:rsid w:val="5AAC5686"/>
    <w:rsid w:val="5AE4275F"/>
    <w:rsid w:val="638B6E6E"/>
    <w:rsid w:val="65B23EF2"/>
    <w:rsid w:val="6780592A"/>
    <w:rsid w:val="692F6F4D"/>
    <w:rsid w:val="6CDE0E9F"/>
    <w:rsid w:val="6D3736DE"/>
    <w:rsid w:val="70334A73"/>
    <w:rsid w:val="70F3186B"/>
    <w:rsid w:val="76EF671D"/>
    <w:rsid w:val="775B5133"/>
    <w:rsid w:val="77933457"/>
    <w:rsid w:val="78872261"/>
    <w:rsid w:val="7BB0282A"/>
    <w:rsid w:val="7D140349"/>
    <w:rsid w:val="7E9C0C87"/>
    <w:rsid w:val="7F2F7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textAlignment w:val="baseline"/>
    </w:pPr>
    <w:rPr>
      <w:rFonts w:ascii="Calibri" w:hAnsi="Times New Roman" w:eastAsia="宋体" w:cs="Times New Roman"/>
      <w:kern w:val="2"/>
      <w:sz w:val="21"/>
      <w:szCs w:val="22"/>
      <w:lang w:val="en-US" w:eastAsia="zh-CN" w:bidi="ar-SA"/>
    </w:rPr>
  </w:style>
  <w:style w:type="paragraph" w:styleId="2">
    <w:name w:val="heading 2"/>
    <w:basedOn w:val="1"/>
    <w:next w:val="1"/>
    <w:qFormat/>
    <w:uiPriority w:val="9"/>
    <w:pPr>
      <w:outlineLvl w:val="1"/>
    </w:pPr>
    <w:rPr>
      <w:rFonts w:eastAsia="楷体_GB2312"/>
      <w:bCs/>
    </w:rPr>
  </w:style>
  <w:style w:type="paragraph" w:styleId="3">
    <w:name w:val="heading 3"/>
    <w:next w:val="4"/>
    <w:autoRedefine/>
    <w:qFormat/>
    <w:uiPriority w:val="99"/>
    <w:pPr>
      <w:keepNext/>
      <w:keepLines/>
      <w:widowControl/>
      <w:tabs>
        <w:tab w:val="left" w:pos="0"/>
      </w:tabs>
      <w:adjustRightInd w:val="0"/>
      <w:snapToGrid w:val="0"/>
      <w:spacing w:before="0" w:beforeLines="0" w:after="120" w:afterLines="0" w:line="560" w:lineRule="exact"/>
      <w:ind w:firstLine="200" w:firstLineChars="200"/>
      <w:jc w:val="left"/>
      <w:outlineLvl w:val="2"/>
    </w:pPr>
    <w:rPr>
      <w:rFonts w:ascii="仿宋_GB2312" w:hAnsi="仿宋_GB2312" w:eastAsia="仿宋_GB2312" w:cs="仿宋_GB2312"/>
      <w:kern w:val="0"/>
      <w:sz w:val="32"/>
      <w:szCs w:val="32"/>
      <w:lang w:val="en-GB" w:eastAsia="zh-CN" w:bidi="ar-SA"/>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1"/>
    <w:pPr>
      <w:widowControl/>
      <w:adjustRightInd w:val="0"/>
      <w:snapToGrid w:val="0"/>
      <w:spacing w:before="150" w:beforeLines="0" w:after="150" w:afterLines="0" w:line="264" w:lineRule="auto"/>
      <w:ind w:firstLine="567" w:firstLineChars="200"/>
      <w:jc w:val="both"/>
    </w:pPr>
    <w:rPr>
      <w:rFonts w:ascii="华文楷体" w:hAnsi="华文楷体" w:eastAsia="LF_Kai" w:cs="Times New Roman"/>
      <w:kern w:val="0"/>
      <w:sz w:val="24"/>
      <w:szCs w:val="20"/>
      <w:lang w:val="en-GB" w:eastAsia="zh-CN" w:bidi="ar-SA"/>
    </w:rPr>
  </w:style>
  <w:style w:type="paragraph" w:styleId="5">
    <w:name w:val="Body Text Indent"/>
    <w:basedOn w:val="1"/>
    <w:next w:val="6"/>
    <w:qFormat/>
    <w:uiPriority w:val="0"/>
    <w:pPr>
      <w:spacing w:after="120" w:afterLines="0" w:line="560" w:lineRule="exact"/>
      <w:ind w:left="420" w:leftChars="200" w:firstLine="200" w:firstLineChars="200"/>
      <w:jc w:val="both"/>
    </w:pPr>
    <w:rPr>
      <w:rFonts w:ascii="Times New Roman" w:hAnsi="Times New Roman" w:eastAsia="宋体" w:cs="Times New Roman"/>
      <w:kern w:val="2"/>
      <w:sz w:val="21"/>
      <w:szCs w:val="32"/>
      <w:lang w:val="en-US" w:eastAsia="zh-CN" w:bidi="ar-SA"/>
    </w:rPr>
  </w:style>
  <w:style w:type="paragraph" w:customStyle="1" w:styleId="6">
    <w:name w:val="样式 正文文本缩进 + Times New Roman"/>
    <w:basedOn w:val="5"/>
    <w:next w:val="1"/>
    <w:autoRedefine/>
    <w:qFormat/>
    <w:uiPriority w:val="0"/>
    <w:pPr>
      <w:tabs>
        <w:tab w:val="left" w:pos="7654"/>
      </w:tabs>
      <w:autoSpaceDE w:val="0"/>
      <w:autoSpaceDN w:val="0"/>
      <w:snapToGrid w:val="0"/>
      <w:spacing w:line="510" w:lineRule="exact"/>
      <w:ind w:right="-53" w:rightChars="-25" w:firstLine="520"/>
    </w:pPr>
    <w:rPr>
      <w:kern w:val="0"/>
      <w:sz w:val="26"/>
      <w:szCs w:val="26"/>
      <w:lang w:val="zh-CN"/>
    </w:rPr>
  </w:style>
  <w:style w:type="paragraph" w:styleId="7">
    <w:name w:val="footer"/>
    <w:basedOn w:val="1"/>
    <w:link w:val="23"/>
    <w:qFormat/>
    <w:uiPriority w:val="0"/>
    <w:pPr>
      <w:tabs>
        <w:tab w:val="center" w:pos="4153"/>
        <w:tab w:val="right" w:pos="8306"/>
      </w:tabs>
      <w:snapToGrid w:val="0"/>
      <w:jc w:val="left"/>
    </w:pPr>
    <w:rPr>
      <w:rFonts w:ascii="仿宋_GB2312" w:eastAsia="仿宋_GB2312"/>
      <w:sz w:val="18"/>
      <w:szCs w:val="18"/>
    </w:rPr>
  </w:style>
  <w:style w:type="paragraph" w:styleId="8">
    <w:name w:val="header"/>
    <w:basedOn w:val="1"/>
    <w:link w:val="28"/>
    <w:qFormat/>
    <w:uiPriority w:val="0"/>
    <w:pPr>
      <w:tabs>
        <w:tab w:val="center" w:pos="4153"/>
        <w:tab w:val="right" w:pos="8306"/>
      </w:tabs>
      <w:snapToGrid w:val="0"/>
      <w:spacing w:line="620" w:lineRule="exact"/>
      <w:ind w:firstLine="200" w:firstLineChars="200"/>
      <w:jc w:val="center"/>
    </w:pPr>
    <w:rPr>
      <w:rFonts w:ascii="仿宋_GB2312" w:eastAsia="仿宋_GB2312"/>
      <w:sz w:val="18"/>
      <w:szCs w:val="18"/>
    </w:rPr>
  </w:style>
  <w:style w:type="paragraph" w:styleId="9">
    <w:name w:val="toc 1"/>
    <w:next w:val="1"/>
    <w:qFormat/>
    <w:uiPriority w:val="39"/>
    <w:pPr>
      <w:tabs>
        <w:tab w:val="left" w:pos="540"/>
        <w:tab w:val="right" w:leader="dot" w:pos="8296"/>
      </w:tabs>
      <w:adjustRightInd w:val="0"/>
      <w:snapToGrid w:val="0"/>
      <w:spacing w:before="120" w:beforeLines="0" w:after="120" w:afterLines="0" w:line="560" w:lineRule="exact"/>
      <w:ind w:firstLine="200" w:firstLineChars="200"/>
      <w:jc w:val="left"/>
    </w:pPr>
    <w:rPr>
      <w:rFonts w:ascii="Calibri" w:hAnsi="Calibri" w:eastAsia="仿宋_GB2312" w:cs="Calibri"/>
      <w:b/>
      <w:bCs/>
      <w:caps/>
      <w:kern w:val="2"/>
      <w:sz w:val="28"/>
      <w:szCs w:val="28"/>
      <w:lang w:val="en-US" w:eastAsia="zh-CN" w:bidi="ar-SA"/>
    </w:rPr>
  </w:style>
  <w:style w:type="paragraph" w:styleId="10">
    <w:name w:val="Subtitle"/>
    <w:basedOn w:val="1"/>
    <w:next w:val="1"/>
    <w:link w:val="30"/>
    <w:autoRedefine/>
    <w:qFormat/>
    <w:uiPriority w:val="11"/>
    <w:pPr>
      <w:snapToGrid w:val="0"/>
      <w:spacing w:before="240" w:after="60" w:line="312" w:lineRule="auto"/>
      <w:jc w:val="center"/>
    </w:pPr>
    <w:rPr>
      <w:rFonts w:ascii="Cambria" w:hAnsi="Cambria" w:eastAsia="黑体"/>
      <w:kern w:val="28"/>
      <w:sz w:val="24"/>
      <w:szCs w:val="32"/>
    </w:rPr>
  </w:style>
  <w:style w:type="paragraph" w:styleId="11">
    <w:name w:val="Body Text First Indent 2"/>
    <w:basedOn w:val="5"/>
    <w:next w:val="1"/>
    <w:qFormat/>
    <w:uiPriority w:val="0"/>
    <w:pPr>
      <w:spacing w:after="120" w:afterLines="0" w:line="360" w:lineRule="auto"/>
      <w:ind w:left="420" w:leftChars="200" w:firstLine="420" w:firstLineChars="200"/>
      <w:jc w:val="both"/>
    </w:pPr>
    <w:rPr>
      <w:rFonts w:ascii="Times New Roman" w:hAnsi="Times New Roman" w:eastAsia="宋体" w:cs="Times New Roman"/>
      <w:kern w:val="2"/>
      <w:sz w:val="28"/>
      <w:szCs w:val="32"/>
      <w:lang w:val="en-US" w:eastAsia="zh-CN" w:bidi="ar-SA"/>
    </w:rPr>
  </w:style>
  <w:style w:type="paragraph" w:customStyle="1" w:styleId="14">
    <w:name w:val="正文-公1"/>
    <w:autoRedefine/>
    <w:qFormat/>
    <w:uiPriority w:val="99"/>
    <w:pPr>
      <w:widowControl w:val="0"/>
      <w:spacing w:line="560" w:lineRule="exact"/>
      <w:ind w:firstLine="200" w:firstLineChars="200"/>
    </w:pPr>
    <w:rPr>
      <w:rFonts w:ascii="仿宋_GB2312" w:hAnsi="仿宋_GB2312" w:eastAsia="仿宋_GB2312" w:cs="仿宋_GB2312"/>
      <w:kern w:val="2"/>
      <w:sz w:val="32"/>
      <w:szCs w:val="32"/>
      <w:lang w:val="en-US" w:eastAsia="zh-CN" w:bidi="ar-SA"/>
    </w:rPr>
  </w:style>
  <w:style w:type="paragraph" w:customStyle="1" w:styleId="15">
    <w:name w:val="TOC6"/>
    <w:basedOn w:val="1"/>
    <w:next w:val="1"/>
    <w:semiHidden/>
    <w:qFormat/>
    <w:uiPriority w:val="0"/>
    <w:pPr>
      <w:ind w:left="2100"/>
    </w:pPr>
    <w:rPr>
      <w:sz w:val="24"/>
    </w:rPr>
  </w:style>
  <w:style w:type="paragraph" w:customStyle="1" w:styleId="16">
    <w:name w:val="Heading2"/>
    <w:basedOn w:val="17"/>
    <w:next w:val="19"/>
    <w:autoRedefine/>
    <w:qFormat/>
    <w:uiPriority w:val="0"/>
    <w:rPr>
      <w:rFonts w:eastAsia="楷体_GB2312"/>
    </w:rPr>
  </w:style>
  <w:style w:type="paragraph" w:customStyle="1" w:styleId="17">
    <w:name w:val="Heading3"/>
    <w:basedOn w:val="1"/>
    <w:next w:val="18"/>
    <w:qFormat/>
    <w:uiPriority w:val="0"/>
    <w:pPr>
      <w:keepNext/>
      <w:keepLines/>
      <w:spacing w:after="120" w:line="560" w:lineRule="exact"/>
      <w:ind w:firstLine="200" w:firstLineChars="200"/>
    </w:pPr>
    <w:rPr>
      <w:rFonts w:eastAsia="仿宋_GB2312"/>
      <w:sz w:val="32"/>
    </w:rPr>
  </w:style>
  <w:style w:type="paragraph" w:customStyle="1" w:styleId="18">
    <w:name w:val="NormalIndent"/>
    <w:basedOn w:val="1"/>
    <w:autoRedefine/>
    <w:qFormat/>
    <w:uiPriority w:val="0"/>
    <w:pPr>
      <w:ind w:firstLine="420"/>
    </w:pPr>
  </w:style>
  <w:style w:type="paragraph" w:customStyle="1" w:styleId="19">
    <w:name w:val="BodyText"/>
    <w:basedOn w:val="1"/>
    <w:link w:val="29"/>
    <w:autoRedefine/>
    <w:qFormat/>
    <w:uiPriority w:val="0"/>
    <w:pPr>
      <w:spacing w:after="120"/>
      <w:jc w:val="left"/>
    </w:pPr>
    <w:rPr>
      <w:rFonts w:ascii="Times New Roman"/>
      <w:szCs w:val="24"/>
    </w:rPr>
  </w:style>
  <w:style w:type="character" w:customStyle="1" w:styleId="20">
    <w:name w:val="NormalCharacter"/>
    <w:autoRedefine/>
    <w:qFormat/>
    <w:uiPriority w:val="0"/>
  </w:style>
  <w:style w:type="table" w:customStyle="1" w:styleId="21">
    <w:name w:val="TableNormal"/>
    <w:qFormat/>
    <w:uiPriority w:val="0"/>
    <w:tblPr>
      <w:tblCellMar>
        <w:top w:w="0" w:type="dxa"/>
        <w:left w:w="0" w:type="dxa"/>
        <w:bottom w:w="0" w:type="dxa"/>
        <w:right w:w="0" w:type="dxa"/>
      </w:tblCellMar>
    </w:tblPr>
  </w:style>
  <w:style w:type="character" w:customStyle="1" w:styleId="22">
    <w:name w:val="UserStyle_0"/>
    <w:autoRedefine/>
    <w:qFormat/>
    <w:uiPriority w:val="0"/>
    <w:rPr>
      <w:rFonts w:ascii="宋体" w:hAnsi="Courier New" w:eastAsia="宋体"/>
      <w:kern w:val="2"/>
      <w:sz w:val="21"/>
      <w:szCs w:val="21"/>
    </w:rPr>
  </w:style>
  <w:style w:type="character" w:customStyle="1" w:styleId="23">
    <w:name w:val="页脚 字符"/>
    <w:link w:val="7"/>
    <w:qFormat/>
    <w:uiPriority w:val="0"/>
    <w:rPr>
      <w:kern w:val="2"/>
      <w:sz w:val="18"/>
      <w:szCs w:val="18"/>
    </w:rPr>
  </w:style>
  <w:style w:type="character" w:customStyle="1" w:styleId="24">
    <w:name w:val="UserStyle_2"/>
    <w:link w:val="25"/>
    <w:autoRedefine/>
    <w:qFormat/>
    <w:uiPriority w:val="0"/>
    <w:rPr>
      <w:rFonts w:ascii="宋体" w:hAnsi="Courier New"/>
      <w:kern w:val="2"/>
      <w:sz w:val="21"/>
      <w:szCs w:val="21"/>
    </w:rPr>
  </w:style>
  <w:style w:type="paragraph" w:customStyle="1" w:styleId="25">
    <w:name w:val="PlainText"/>
    <w:basedOn w:val="1"/>
    <w:link w:val="24"/>
    <w:autoRedefine/>
    <w:qFormat/>
    <w:uiPriority w:val="0"/>
    <w:rPr>
      <w:rFonts w:ascii="宋体" w:hAnsi="Courier New" w:eastAsia="仿宋_GB2312"/>
      <w:szCs w:val="21"/>
    </w:rPr>
  </w:style>
  <w:style w:type="character" w:customStyle="1" w:styleId="26">
    <w:name w:val="UserStyle_3"/>
    <w:link w:val="27"/>
    <w:autoRedefine/>
    <w:qFormat/>
    <w:uiPriority w:val="0"/>
    <w:rPr>
      <w:rFonts w:ascii="MingLiU" w:hAnsi="MingLiU" w:eastAsia="MingLiU"/>
      <w:sz w:val="18"/>
      <w:szCs w:val="18"/>
      <w:lang w:val="zh-TW" w:eastAsia="zh-TW" w:bidi="zh-TW"/>
    </w:rPr>
  </w:style>
  <w:style w:type="paragraph" w:customStyle="1" w:styleId="27">
    <w:name w:val="UserStyle_4"/>
    <w:basedOn w:val="1"/>
    <w:link w:val="26"/>
    <w:autoRedefine/>
    <w:qFormat/>
    <w:uiPriority w:val="0"/>
    <w:pPr>
      <w:spacing w:line="386" w:lineRule="auto"/>
      <w:ind w:firstLine="400"/>
      <w:jc w:val="left"/>
    </w:pPr>
    <w:rPr>
      <w:rFonts w:ascii="MingLiU" w:hAnsi="MingLiU" w:eastAsia="MingLiU"/>
      <w:kern w:val="0"/>
      <w:sz w:val="18"/>
      <w:szCs w:val="18"/>
      <w:lang w:val="zh-TW" w:eastAsia="zh-TW" w:bidi="zh-TW"/>
    </w:rPr>
  </w:style>
  <w:style w:type="character" w:customStyle="1" w:styleId="28">
    <w:name w:val="页眉 字符"/>
    <w:link w:val="8"/>
    <w:autoRedefine/>
    <w:qFormat/>
    <w:uiPriority w:val="0"/>
    <w:rPr>
      <w:kern w:val="2"/>
      <w:sz w:val="18"/>
      <w:szCs w:val="18"/>
    </w:rPr>
  </w:style>
  <w:style w:type="character" w:customStyle="1" w:styleId="29">
    <w:name w:val="UserStyle_6"/>
    <w:link w:val="19"/>
    <w:qFormat/>
    <w:uiPriority w:val="0"/>
    <w:rPr>
      <w:rFonts w:ascii="Times New Roman" w:hAnsi="Times New Roman" w:eastAsia="宋体"/>
      <w:kern w:val="2"/>
      <w:sz w:val="21"/>
      <w:szCs w:val="24"/>
    </w:rPr>
  </w:style>
  <w:style w:type="character" w:customStyle="1" w:styleId="30">
    <w:name w:val="副标题 字符"/>
    <w:link w:val="10"/>
    <w:autoRedefine/>
    <w:qFormat/>
    <w:uiPriority w:val="0"/>
    <w:rPr>
      <w:rFonts w:ascii="Cambria" w:hAnsi="Cambria" w:eastAsia="黑体" w:cs="Times New Roman"/>
      <w:b/>
      <w:bCs/>
      <w:kern w:val="28"/>
      <w:sz w:val="24"/>
      <w:szCs w:val="32"/>
    </w:rPr>
  </w:style>
  <w:style w:type="paragraph" w:customStyle="1" w:styleId="31">
    <w:name w:val="BodyText1I"/>
    <w:basedOn w:val="19"/>
    <w:autoRedefine/>
    <w:qFormat/>
    <w:uiPriority w:val="0"/>
    <w:pPr>
      <w:ind w:firstLine="420" w:firstLineChars="100"/>
    </w:pPr>
    <w:rPr>
      <w:rFonts w:eastAsia="Times New Roman"/>
    </w:rPr>
  </w:style>
  <w:style w:type="paragraph" w:customStyle="1" w:styleId="32">
    <w:name w:val="HtmlNormal"/>
    <w:basedOn w:val="1"/>
    <w:autoRedefine/>
    <w:qFormat/>
    <w:uiPriority w:val="0"/>
    <w:pPr>
      <w:spacing w:before="100" w:beforeAutospacing="1" w:after="100" w:afterAutospacing="1"/>
      <w:jc w:val="left"/>
    </w:pPr>
    <w:rPr>
      <w:rFonts w:ascii="宋体" w:hAnsi="宋体"/>
      <w:kern w:val="0"/>
      <w:sz w:val="24"/>
      <w:szCs w:val="24"/>
    </w:rPr>
  </w:style>
  <w:style w:type="paragraph" w:customStyle="1" w:styleId="33">
    <w:name w:val="UserStyle_8"/>
    <w:basedOn w:val="1"/>
    <w:autoRedefine/>
    <w:qFormat/>
    <w:uiPriority w:val="0"/>
    <w:pPr>
      <w:shd w:val="clear" w:color="auto" w:fill="FFFFFF"/>
      <w:spacing w:before="1100" w:line="220" w:lineRule="exact"/>
      <w:ind w:hanging="140"/>
      <w:jc w:val="center"/>
    </w:pPr>
    <w:rPr>
      <w:rFonts w:ascii="PMingLiU" w:hAnsi="PMingLiU" w:eastAsia="PMingLiU"/>
      <w:spacing w:val="10"/>
    </w:rPr>
  </w:style>
  <w:style w:type="table" w:customStyle="1" w:styleId="34">
    <w:name w:val="UserStyle_9"/>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9" textRotate="1"/>
    <customShpInfo spid="_x0000_s410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1902</Words>
  <Characters>2183</Characters>
  <Lines>34</Lines>
  <Paragraphs>9</Paragraphs>
  <TotalTime>13</TotalTime>
  <ScaleCrop>false</ScaleCrop>
  <LinksUpToDate>false</LinksUpToDate>
  <CharactersWithSpaces>2244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2021-05-19T03:28:00Z</dcterms:created>
  <dc:creator>Joey</dc:creator>
  <cp:lastModifiedBy>L</cp:lastModifiedBy>
  <dcterms:modified xsi:type="dcterms:W3CDTF">2025-11-13T08:34:15Z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02E7AC70647447D29074B24EDC3C36B4</vt:lpwstr>
  </property>
  <property fmtid="{D5CDD505-2E9C-101B-9397-08002B2CF9AE}" pid="4" name="KSOTemplateDocerSaveRecord">
    <vt:lpwstr>eyJoZGlkIjoiMTA5NWUxMDYwNDg2YzhiMmE5MWVhZTA5NWYxZjhiZTAiLCJ1c2VySWQiOiI0MDAzMzU3NDYifQ==</vt:lpwstr>
  </property>
</Properties>
</file>